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Российская Федерация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СОВЕТ НАРОДНЫХ ДЕПУТАТОВ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ПОДГОРЕНСКОГО СЕЛЬСКОГО ПОСЕЛЕНИЯ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КАЛАЧЕЕВСКОГО МУНИЦИПАЛЬНОГО РАЙОНА</w:t>
      </w:r>
      <w:r>
        <w:rPr>
          <w:rFonts w:ascii="Times New Roman" w:hAnsi="Times New Roman" w:cs="Times New Roman"/>
          <w:b/>
          <w:lang w:eastAsia="ru-RU"/>
        </w:rPr>
        <w:br/>
        <w:t>ВОРОНЕЖСКОЙ ОБЛАСТИ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</w:p>
    <w:p w:rsidR="00EC5C08" w:rsidRDefault="00EC5C08" w:rsidP="00EC5C08">
      <w:pPr>
        <w:rPr>
          <w:rFonts w:ascii="Times New Roman" w:hAnsi="Times New Roman"/>
          <w:b/>
          <w:bCs/>
        </w:rPr>
      </w:pPr>
    </w:p>
    <w:p w:rsidR="00EC5C08" w:rsidRDefault="00EC5C08" w:rsidP="00EC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 декабря  2014 г.                                                                                               № 201</w:t>
      </w:r>
    </w:p>
    <w:p w:rsidR="00EC5C08" w:rsidRDefault="00EC5C08" w:rsidP="00EC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с. Подгорное</w:t>
      </w:r>
    </w:p>
    <w:p w:rsidR="00EC5C08" w:rsidRDefault="00EC5C08" w:rsidP="00EC5C08">
      <w:pPr>
        <w:rPr>
          <w:rFonts w:ascii="Times New Roman" w:hAnsi="Times New Roman" w:cs="Times New Roman"/>
        </w:rPr>
      </w:pPr>
    </w:p>
    <w:p w:rsidR="00EC5C08" w:rsidRPr="00EC5C08" w:rsidRDefault="00EC5C08" w:rsidP="00EC5C08">
      <w:pPr>
        <w:rPr>
          <w:rFonts w:ascii="Times New Roman" w:hAnsi="Times New Roman" w:cs="Times New Roman"/>
          <w:b/>
        </w:rPr>
      </w:pPr>
      <w:r w:rsidRPr="00EC5C08">
        <w:rPr>
          <w:rFonts w:ascii="Times New Roman" w:hAnsi="Times New Roman" w:cs="Times New Roman"/>
          <w:b/>
        </w:rPr>
        <w:t xml:space="preserve">Об утверждении местных нормативов </w:t>
      </w:r>
      <w:r w:rsidRPr="00EC5C08">
        <w:rPr>
          <w:rFonts w:ascii="Times New Roman" w:hAnsi="Times New Roman" w:cs="Times New Roman"/>
          <w:b/>
        </w:rPr>
        <w:br/>
        <w:t>градостроительного проектирования</w:t>
      </w:r>
      <w:r w:rsidRPr="00EC5C08">
        <w:rPr>
          <w:rFonts w:ascii="Times New Roman" w:hAnsi="Times New Roman" w:cs="Times New Roman"/>
          <w:b/>
        </w:rPr>
        <w:br/>
        <w:t>Подгоренского сельского поселения</w:t>
      </w:r>
    </w:p>
    <w:p w:rsidR="00EC5C08" w:rsidRPr="00EC5C08" w:rsidRDefault="00EC5C08" w:rsidP="00EC5C08">
      <w:pPr>
        <w:rPr>
          <w:rFonts w:ascii="Times New Roman" w:hAnsi="Times New Roman" w:cs="Times New Roman"/>
          <w:b/>
          <w:bCs/>
        </w:rPr>
      </w:pPr>
      <w:r w:rsidRPr="00EC5C08">
        <w:rPr>
          <w:rFonts w:ascii="Times New Roman" w:hAnsi="Times New Roman" w:cs="Times New Roman"/>
          <w:b/>
        </w:rPr>
        <w:t>Калачеевского муниципального района</w:t>
      </w:r>
    </w:p>
    <w:p w:rsidR="00EC5C08" w:rsidRPr="004D57C9" w:rsidRDefault="00EC5C08" w:rsidP="00EC5C08">
      <w:pPr>
        <w:rPr>
          <w:rFonts w:ascii="Times New Roman" w:hAnsi="Times New Roman" w:cs="Times New Roman"/>
        </w:rPr>
      </w:pPr>
    </w:p>
    <w:p w:rsidR="00CC1DF1" w:rsidRPr="004D57C9" w:rsidRDefault="004D57C9">
      <w:pPr>
        <w:rPr>
          <w:rFonts w:ascii="Times New Roman" w:hAnsi="Times New Roman" w:cs="Times New Roman"/>
        </w:rPr>
      </w:pPr>
      <w:r w:rsidRPr="004D57C9">
        <w:rPr>
          <w:rFonts w:ascii="Times New Roman" w:hAnsi="Times New Roman" w:cs="Times New Roman"/>
        </w:rPr>
        <w:t xml:space="preserve">      В соответствии с ФЗ от 5 мая 2014 г. №131-ФЗ «О внесении изменений в Градостроительный  кодекс РФ» Совет народных депутатов Подгоренского сельского поселения Калачеевского муниципального района</w:t>
      </w:r>
    </w:p>
    <w:p w:rsidR="004D57C9" w:rsidRPr="004D57C9" w:rsidRDefault="004D57C9" w:rsidP="004D57C9">
      <w:pPr>
        <w:jc w:val="center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center"/>
        <w:rPr>
          <w:rFonts w:ascii="Times New Roman" w:hAnsi="Times New Roman" w:cs="Times New Roman"/>
        </w:rPr>
      </w:pPr>
      <w:proofErr w:type="gramStart"/>
      <w:r w:rsidRPr="004D57C9">
        <w:rPr>
          <w:rFonts w:ascii="Times New Roman" w:hAnsi="Times New Roman" w:cs="Times New Roman"/>
        </w:rPr>
        <w:t>Р</w:t>
      </w:r>
      <w:proofErr w:type="gramEnd"/>
      <w:r w:rsidRPr="004D57C9">
        <w:rPr>
          <w:rFonts w:ascii="Times New Roman" w:hAnsi="Times New Roman" w:cs="Times New Roman"/>
        </w:rPr>
        <w:t xml:space="preserve"> Е Ш И Л :</w:t>
      </w:r>
    </w:p>
    <w:p w:rsidR="004D57C9" w:rsidRPr="004D57C9" w:rsidRDefault="004D57C9" w:rsidP="004D57C9">
      <w:pPr>
        <w:jc w:val="center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57C9">
        <w:rPr>
          <w:rFonts w:ascii="Times New Roman" w:hAnsi="Times New Roman" w:cs="Times New Roman"/>
        </w:rPr>
        <w:t xml:space="preserve">Утвердить местные нормативы градостроительного проектирования </w:t>
      </w:r>
      <w:r>
        <w:rPr>
          <w:rFonts w:ascii="Times New Roman" w:hAnsi="Times New Roman" w:cs="Times New Roman"/>
        </w:rPr>
        <w:t>Подгоренского сельского поселения Калачеевского муниципального</w:t>
      </w:r>
      <w:r w:rsidRPr="004D57C9">
        <w:rPr>
          <w:rFonts w:ascii="Times New Roman" w:hAnsi="Times New Roman" w:cs="Times New Roman"/>
        </w:rPr>
        <w:t xml:space="preserve"> района согласно приложению к настоящему решению.</w:t>
      </w:r>
    </w:p>
    <w:p w:rsidR="004D57C9" w:rsidRPr="00E21FFE" w:rsidRDefault="004D57C9" w:rsidP="00E21FFE">
      <w:pPr>
        <w:ind w:left="360"/>
        <w:jc w:val="both"/>
        <w:rPr>
          <w:rFonts w:ascii="Times New Roman" w:hAnsi="Times New Roman" w:cs="Times New Roman"/>
        </w:rPr>
      </w:pPr>
      <w:r w:rsidRPr="00E21FFE">
        <w:rPr>
          <w:rFonts w:ascii="Times New Roman" w:hAnsi="Times New Roman" w:cs="Times New Roman"/>
        </w:rPr>
        <w:t xml:space="preserve"> Опубликовать настоящее решение в Вестнике муниципальных правовых актов Подгоренского сельского поселения Калачеевского муниципального района.</w:t>
      </w:r>
    </w:p>
    <w:p w:rsidR="004D57C9" w:rsidRPr="004D57C9" w:rsidRDefault="004D57C9" w:rsidP="004D57C9">
      <w:pPr>
        <w:jc w:val="both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  <w:b/>
        </w:rPr>
      </w:pPr>
      <w:r w:rsidRPr="004D57C9">
        <w:rPr>
          <w:rFonts w:ascii="Times New Roman" w:hAnsi="Times New Roman" w:cs="Times New Roman"/>
          <w:b/>
        </w:rPr>
        <w:t>Глава Подгоренского</w:t>
      </w: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  <w:r w:rsidRPr="004D57C9">
        <w:rPr>
          <w:rFonts w:ascii="Times New Roman" w:hAnsi="Times New Roman" w:cs="Times New Roman"/>
          <w:b/>
        </w:rPr>
        <w:t>сельского поселения                                             С.Н. Комарова</w:t>
      </w: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Times New Roman" w:hAnsi="Times New Roman" w:cs="Times New Roman"/>
          <w:lang w:eastAsia="ru-RU"/>
        </w:rPr>
      </w:pPr>
      <w:r w:rsidRPr="004D57C9">
        <w:rPr>
          <w:rFonts w:ascii="Times New Roman" w:hAnsi="Times New Roman" w:cs="Times New Roman"/>
          <w:lang w:eastAsia="ru-RU"/>
        </w:rPr>
        <w:lastRenderedPageBreak/>
        <w:t xml:space="preserve">Приложение к </w:t>
      </w:r>
      <w:r>
        <w:rPr>
          <w:rFonts w:ascii="Times New Roman" w:hAnsi="Times New Roman" w:cs="Times New Roman"/>
          <w:lang w:eastAsia="ru-RU"/>
        </w:rPr>
        <w:t>решению Совета народных депутатов</w:t>
      </w:r>
      <w:r w:rsidRPr="004D57C9">
        <w:rPr>
          <w:rFonts w:ascii="Times New Roman" w:hAnsi="Times New Roman" w:cs="Times New Roman"/>
          <w:lang w:eastAsia="ru-RU"/>
        </w:rPr>
        <w:t xml:space="preserve"> Подгоренского сельского поселения </w:t>
      </w:r>
      <w:r w:rsidR="00E21FFE">
        <w:rPr>
          <w:rFonts w:ascii="Times New Roman" w:hAnsi="Times New Roman" w:cs="Times New Roman"/>
          <w:lang w:eastAsia="ru-RU"/>
        </w:rPr>
        <w:t>Калачеевского муниципального района</w:t>
      </w:r>
    </w:p>
    <w:p w:rsidR="004D57C9" w:rsidRPr="004D57C9" w:rsidRDefault="00E21FFE" w:rsidP="004D57C9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25.12.2014 г. №201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Times New Roman"/>
          <w:sz w:val="20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Times New Roman"/>
          <w:sz w:val="20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МЕСТНЫЕ НОРМАТИВЫ ГРАДОСТРОИТЕЛЬНОГО ПРОЕКТИРОВАНИЯ  </w:t>
      </w:r>
      <w:r w:rsidR="00E21FFE">
        <w:rPr>
          <w:rFonts w:ascii="Times New Roman" w:hAnsi="Times New Roman" w:cs="Times New Roman"/>
          <w:b/>
          <w:sz w:val="28"/>
          <w:szCs w:val="20"/>
          <w:lang w:eastAsia="ru-RU"/>
        </w:rPr>
        <w:t>ПОДГОРЕНСКОГО СЕЛЬСКОГО ПОСЕЛЕНИЯ КАЛАЧЕЕВСКОГО МУНИЦИПАЛЬНОГО РАЙОНА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szCs w:val="20"/>
          <w:lang w:eastAsia="ru-RU"/>
        </w:rPr>
      </w:pPr>
    </w:p>
    <w:p w:rsidR="004D57C9" w:rsidRPr="004D57C9" w:rsidRDefault="004D57C9" w:rsidP="004D57C9">
      <w:pPr>
        <w:widowControl w:val="0"/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ОБЩИЕ ПОЛОЖЕНИЯ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 Назначение и область применения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Подгоренского сельского поселения» (далее – нормативы) разработаны в соответствии с законодательством Российской Федерации, Воронежской области и Подгоренского сельского поселения и распространяются на планировку, застройку и реконструкцию территории Подгоренского сельского поселения (далее – поселение) в пределах его границ.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1.1.4. </w:t>
      </w:r>
      <w:r w:rsidRPr="004D57C9">
        <w:rPr>
          <w:rFonts w:ascii="Times New Roman" w:hAnsi="Times New Roman" w:cs="Times New Roman"/>
          <w:szCs w:val="20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1.2. Общая организация и зонирование территории поселения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Границы территории поселения установлены в соответствии с Законом Воронежской области от 30.09.2004.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территории поселения расположено 3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населенных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пункта, в том числе: село Подгорное – административный центр поселения,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Сельские населенные пункты: с. </w:t>
      </w: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Подгорное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, с. Ильинка, с. </w:t>
      </w:r>
      <w:proofErr w:type="spellStart"/>
      <w:r w:rsidRPr="004D57C9">
        <w:rPr>
          <w:rFonts w:ascii="Times New Roman" w:hAnsi="Times New Roman" w:cs="Times New Roman"/>
          <w:i/>
          <w:szCs w:val="20"/>
          <w:lang w:eastAsia="ru-RU"/>
        </w:rPr>
        <w:t>Серяково</w:t>
      </w:r>
      <w:proofErr w:type="spellEnd"/>
      <w:r w:rsidRPr="004D57C9">
        <w:rPr>
          <w:rFonts w:ascii="Times New Roman" w:hAnsi="Times New Roman" w:cs="Times New Roman"/>
          <w:i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поселения расположено 29 объектов культурного наследия, в том числе 8 объектов культурного наследия (памятников истории и культуры) в селе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Подгорное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1.2.3.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 условиях реконструкции в исторически сложившейся части села Подгорное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непросматриваемости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жилых помещений окно в окно.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1.2.4. </w:t>
      </w:r>
      <w:r w:rsidRPr="004D57C9">
        <w:rPr>
          <w:rFonts w:ascii="Times New Roman" w:hAnsi="Times New Roman" w:cs="Times New Roman"/>
          <w:szCs w:val="20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</w:p>
    <w:p w:rsid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kern w:val="1"/>
          <w:szCs w:val="20"/>
          <w:lang w:eastAsia="ru-RU"/>
        </w:rPr>
        <w:t>2. ЖИЛЫЕ ЗОНЫ НАСЕЛЕННЫХ ПУНКТОВ ПОСЕЛЕНИЯ</w:t>
      </w:r>
    </w:p>
    <w:p w:rsidR="00E21FFE" w:rsidRPr="004D57C9" w:rsidRDefault="00E21FFE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>2.1. Общие требования</w:t>
      </w:r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состав жилых зон могут включаться: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зона застройки малоэтажными жилыми домами (до 3 этажей);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зона застройки блокированными малоэтажными жилыми домами (до 3 этажей)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земельными участками;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 1 человека;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 1 человека).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застройки с участком; от 4 до 6 этажей - </w:t>
      </w:r>
      <w:smartTag w:uri="urn:schemas-microsoft-com:office:smarttags" w:element="metricconverter">
        <w:smartTagPr>
          <w:attr w:name="ProductID" w:val="8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8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Укрупненные показатели приведены при средней расчетной жилищной обеспеченности 20 кв. м/чел.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2.1.5.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right="17" w:firstLine="697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right="17" w:firstLine="697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r w:rsidRPr="004D57C9">
        <w:rPr>
          <w:rFonts w:ascii="Times New Roman" w:hAnsi="Times New Roman" w:cs="Times New Roman"/>
          <w:color w:val="000080"/>
          <w:szCs w:val="20"/>
          <w:u w:val="single"/>
          <w:lang w:eastAsia="ru-RU"/>
        </w:rPr>
        <w:t xml:space="preserve">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4D57C9">
          <w:rPr>
            <w:rFonts w:ascii="Times New Roman" w:hAnsi="Times New Roman" w:cs="Times New Roman"/>
            <w:color w:val="000080"/>
            <w:szCs w:val="20"/>
            <w:u w:val="single"/>
            <w:lang w:eastAsia="ru-RU"/>
          </w:rPr>
          <w:t>2008 г</w:t>
        </w:r>
      </w:smartTag>
      <w:r w:rsidRPr="004D57C9">
        <w:rPr>
          <w:rFonts w:ascii="Times New Roman" w:hAnsi="Times New Roman" w:cs="Times New Roman"/>
          <w:color w:val="000080"/>
          <w:szCs w:val="20"/>
          <w:u w:val="single"/>
          <w:lang w:eastAsia="ru-RU"/>
        </w:rPr>
        <w:t>. № 123-ФЗ «Технический регламент о требованиях пожарной безопасности»</w:t>
      </w:r>
      <w:r w:rsidRPr="004D57C9">
        <w:rPr>
          <w:rFonts w:ascii="Times New Roman" w:hAnsi="Times New Roman" w:cs="Times New Roman"/>
          <w:szCs w:val="20"/>
          <w:lang w:eastAsia="ru-RU"/>
        </w:rPr>
        <w:t>, СНиП 21-01-97*, СНиП 31-01-2003, СНиП 31-05-2003*, СНиП 21-02-99*,  в том числе: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обособленные от жилой территории входы для посетителей;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самостоятельные шахты для вентиляции;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отделение нежилых помещений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от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жилых противопожарными, звукоизолирующими перекрытиями и перегородками.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2.1.8.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В том числе: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магазины по продаже ковровых изделий, автозапчастей, шин и автомобильных масел;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магазины специализированные рыбные;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магазины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специализированные овощные без мойки и расфасовки;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объекты с режимом функционирования после 23 часов;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бани и сауны;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дискотеки;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75 кг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в смену);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общественные уборные;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- похоронные бюро;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склады оптовой (или мелкооптовой) торговли;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зуботехнические лаборатории;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FF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2.1.9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 П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паразитологического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4D57C9">
        <w:rPr>
          <w:rFonts w:ascii="Times New Roman" w:hAnsi="Times New Roman" w:cs="Times New Roman"/>
          <w:color w:val="FF0000"/>
          <w:szCs w:val="20"/>
          <w:lang w:eastAsia="ru-RU"/>
        </w:rPr>
        <w:t>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 Территории малоэтажного жилищного строительства населенных пунктов поселения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территории малоэтажной застройки принимаются следующие типы жилых зданий: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блокированные малоэтажные жилые дома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земельными участками;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секционные малоэтажные жилые дома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одноквартирных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, применяются дома блокированные, в том числе двухквартирные,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участками при каждой квартире.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2.2.2</w:t>
      </w:r>
      <w:r w:rsidRPr="004D57C9">
        <w:rPr>
          <w:rFonts w:ascii="Times New Roman" w:hAnsi="Times New Roman" w:cs="Times New Roman"/>
          <w:szCs w:val="20"/>
          <w:lang w:eastAsia="ru-RU"/>
        </w:rPr>
        <w:t>. 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1.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3415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Тип жилых домов           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9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9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0,8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9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Многоквартирные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, не выше 3 этажей   </w:t>
            </w:r>
          </w:p>
        </w:tc>
        <w:tc>
          <w:tcPr>
            <w:tcW w:w="3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ind w:hanging="75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0,8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12 метров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(заверяется нотариально) </w:t>
      </w:r>
      <w:r w:rsidRPr="004D57C9">
        <w:rPr>
          <w:rFonts w:ascii="Times New Roman" w:hAnsi="Times New Roman" w:cs="Times New Roman"/>
          <w:szCs w:val="20"/>
          <w:lang w:eastAsia="ru-RU"/>
        </w:rPr>
        <w:t>составляет не менее: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одноэтажного жилого дома;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двухэтажного жилого дома;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2.2.4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8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D57C9">
          <w:rPr>
            <w:rFonts w:ascii="Times New Roman" w:hAnsi="Times New Roman" w:cs="Times New Roman"/>
            <w:spacing w:val="-2"/>
            <w:szCs w:val="20"/>
            <w:lang w:eastAsia="ru-RU"/>
          </w:rPr>
          <w:t>50 см</w:t>
        </w:r>
      </w:smartTag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 xml:space="preserve"> от плоскости стены. Если элементы выступают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50 см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2.2.6.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0,1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входа в дом.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менее указанных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в таблице 2.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120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Нормативный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разрыв   </w:t>
            </w:r>
          </w:p>
        </w:tc>
        <w:tc>
          <w:tcPr>
            <w:tcW w:w="7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Поголовье (шт.), не более        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коровы, 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овцы,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козы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кролик</w:t>
            </w: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и-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птица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лошади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нутрии,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песцы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10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30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20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45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30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60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40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75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 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2.2.8.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границы соседнего земельного участка допускается: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2.2.9.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85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85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следует принимать принимается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в соответствии с требованиями приложения 4 регионального норматива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2.2.10. </w:t>
      </w:r>
      <w:r w:rsidRPr="004D57C9">
        <w:rPr>
          <w:rFonts w:ascii="Times New Roman" w:hAnsi="Times New Roman" w:cs="Times New Roman"/>
          <w:szCs w:val="20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Расстояние от площадок </w:t>
      </w:r>
      <w:r w:rsidRPr="004D57C9">
        <w:rPr>
          <w:rFonts w:ascii="Arial" w:hAnsi="Arial" w:cs="Times New Roman"/>
          <w:sz w:val="20"/>
          <w:szCs w:val="20"/>
          <w:lang w:eastAsia="ru-RU"/>
        </w:rPr>
        <w:t xml:space="preserve">для сбора мусора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 метров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(при невозможности их организации -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повёдерный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вывоз бытовых отходов).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2.2.12.</w:t>
      </w:r>
      <w:r w:rsidRPr="004D57C9">
        <w:rPr>
          <w:rFonts w:ascii="Times New Roman" w:hAnsi="Times New Roman" w:cs="Times New Roman"/>
          <w:szCs w:val="20"/>
          <w:lang w:eastAsia="ru-RU"/>
        </w:rPr>
        <w:t>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На территории малоэтажной жилой застройки следует предусматривать 100-процентную обеспеченность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-местами для хранения и парковки легковых автомобилей, мотоциклов, мопедов.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территории с застройкой жилыми домами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участками закрытые автостоянки следует размещать в пределах отведенного участка.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приобъектные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 и 15-20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мест для временного хранения велосипедов и мопедов.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Arial" w:hAnsi="Arial" w:cs="Times New Roman"/>
          <w:b/>
          <w:i/>
          <w:sz w:val="28"/>
          <w:szCs w:val="20"/>
          <w:lang w:eastAsia="ru-RU"/>
        </w:rPr>
      </w:pP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 Территории, предназначенные для ведения садоводства, огородничества, дачного хозяйства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2.3.1.</w:t>
      </w:r>
      <w:r w:rsidRPr="004D57C9">
        <w:rPr>
          <w:rFonts w:ascii="Times New Roman" w:hAnsi="Times New Roman" w:cs="Times New Roman"/>
          <w:szCs w:val="20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двух въездов.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2.3.2.</w:t>
      </w:r>
      <w:r w:rsidRPr="004D57C9">
        <w:rPr>
          <w:rFonts w:ascii="Times New Roman" w:hAnsi="Times New Roman" w:cs="Times New Roman"/>
          <w:szCs w:val="20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6.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6 Состав объектов садоводческого (дачного) объединения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516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Объекты</w:t>
            </w:r>
          </w:p>
        </w:tc>
        <w:tc>
          <w:tcPr>
            <w:tcW w:w="5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Удельные размеры земельных участков, м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vertAlign w:val="superscript"/>
                <w:lang w:eastAsia="ru-RU"/>
              </w:rPr>
              <w:t>2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15 </w:t>
            </w:r>
            <w:r w:rsidRPr="004D57C9">
              <w:rPr>
                <w:rFonts w:ascii="Symbol" w:hAnsi="Symbol" w:cs="Times New Roman"/>
                <w:b/>
                <w:szCs w:val="20"/>
                <w:lang w:eastAsia="ru-RU"/>
              </w:rPr>
              <w:t></w:t>
            </w: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101 </w:t>
            </w:r>
            <w:r w:rsidRPr="004D57C9">
              <w:rPr>
                <w:rFonts w:ascii="Symbol" w:hAnsi="Symbol" w:cs="Times New Roman"/>
                <w:b/>
                <w:szCs w:val="20"/>
                <w:lang w:eastAsia="ru-RU"/>
              </w:rPr>
              <w:t></w:t>
            </w: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300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301 и более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Сторожка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1-0,7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0,7-0,5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2-0,5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0,5-0,2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0,2 и менее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0,35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Площадки для мусоросборников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0,1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0,1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0,1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0,9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0,9-0,4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 и менее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2.3.5. </w:t>
      </w:r>
      <w:r w:rsidRPr="004D57C9">
        <w:rPr>
          <w:rFonts w:ascii="Times New Roman" w:hAnsi="Times New Roman" w:cs="Times New Roman"/>
          <w:szCs w:val="20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улиц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15;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проездов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9.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Минимальный радиус закругления края проезжей части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улиц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проездов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включая ширину проезжей части. Расстояние между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При этом тупиковые проезды должны заканчиваться площадками для разворота пожарной техники размером не менее 15*15 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 Территория индивидуального садового, огородного, дачного участка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0,06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2.3.8.4. </w:t>
      </w:r>
      <w:r w:rsidRPr="004D57C9">
        <w:rPr>
          <w:rFonts w:ascii="Times New Roman" w:hAnsi="Times New Roman" w:cs="Times New Roman"/>
          <w:szCs w:val="20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от красной линии проездов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пп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. 2.2.6, 2.2.7. настоящих нормативов.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входа в дом.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2.3.8.8.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3. ОБЩЕСТВЕННО-ДЕЛОВЫЕ ЗОНЫ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 Общие требования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>3.1.4.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. Для общественно-деловых зон села </w:t>
      </w: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Подгорное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>, в пределах которых размещаются объекты культурного наследия, могут выделяться общественно-деловые исторические зоны.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Формирование общественно-деловой исторической зоны села Подгорное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фрагментарного и </w:t>
      </w:r>
      <w:proofErr w:type="spellStart"/>
      <w:r w:rsidRPr="004D57C9">
        <w:rPr>
          <w:rFonts w:ascii="Times New Roman" w:hAnsi="Times New Roman" w:cs="Times New Roman"/>
          <w:i/>
          <w:szCs w:val="20"/>
          <w:lang w:eastAsia="ru-RU"/>
        </w:rPr>
        <w:t>руинированного</w:t>
      </w:r>
      <w:proofErr w:type="spell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к реконструкции существующей застройки, в том числе регламенты по использованию надземного и подземного пространства.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3.1.5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Процент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застроенности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 Учреждения и предприятия социальной инфраструктуры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Расчетные показатели минимальной обеспеченности социально значимыми объектами повседневного обслуживания приведены в таблице 7.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7.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1"/>
        <w:gridCol w:w="2298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№   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</w: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Минимальная обеспеченность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Мест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90 &lt;*&gt;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Мест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135 &lt;*&gt;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&lt;**&gt;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&lt;**&gt;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Объект на жилую группу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Рабочих мест на 1000 жителей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Объект на жилую группу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</w:t>
            </w:r>
          </w:p>
        </w:tc>
      </w:tr>
    </w:tbl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&lt;*&gt; При отсутствии расчета по демографии.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3.2.5</w:t>
      </w:r>
      <w:r w:rsidRPr="004D57C9">
        <w:rPr>
          <w:rFonts w:ascii="Times New Roman" w:hAnsi="Times New Roman" w:cs="Times New Roman"/>
          <w:b/>
          <w:spacing w:val="-2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4D57C9">
        <w:rPr>
          <w:rFonts w:ascii="Times New Roman" w:hAnsi="Times New Roman" w:cs="Times New Roman"/>
          <w:szCs w:val="20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3.2.6</w:t>
      </w:r>
      <w:r w:rsidRPr="004D57C9">
        <w:rPr>
          <w:rFonts w:ascii="Times New Roman" w:hAnsi="Times New Roman" w:cs="Times New Roman"/>
          <w:b/>
          <w:spacing w:val="-2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При этом: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2) Общая площадь рынка определяется из расчета: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14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торговой площади рынка в зависимости от вместимости: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14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,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18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торговой площади на 1000 человек населения муниципального образования.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4). Расчет площади рынка осуществляется по формуле: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proofErr w:type="gramStart"/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 = A х 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торг  норм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х 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</w:t>
      </w:r>
      <w:proofErr w:type="gramEnd"/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 xml:space="preserve">  норм</w:t>
      </w:r>
      <w:r w:rsidRPr="004D57C9">
        <w:rPr>
          <w:rFonts w:ascii="Times New Roman" w:hAnsi="Times New Roman" w:cs="Times New Roman"/>
          <w:szCs w:val="20"/>
          <w:lang w:eastAsia="ru-RU"/>
        </w:rPr>
        <w:t>,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где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- общая площадь рынка;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А - численность населения в тыс. чел.;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торг норм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-р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азмер торговой площади, установленный п. 3)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 норм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- размер общей площади рынка, установленный п.2)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>железнодорожных вокзалов (станций).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3.2.8</w:t>
      </w:r>
      <w:r w:rsidRPr="004D57C9">
        <w:rPr>
          <w:rFonts w:ascii="Times New Roman" w:hAnsi="Times New Roman" w:cs="Times New Roman"/>
          <w:szCs w:val="20"/>
          <w:lang w:eastAsia="ru-RU"/>
        </w:rPr>
        <w:t>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3.2.9</w:t>
      </w:r>
      <w:r w:rsidRPr="004D57C9">
        <w:rPr>
          <w:rFonts w:ascii="Times New Roman" w:hAnsi="Times New Roman" w:cs="Times New Roman"/>
          <w:szCs w:val="20"/>
          <w:lang w:eastAsia="ru-RU"/>
        </w:rPr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  <w:proofErr w:type="gramStart"/>
        <w:r w:rsidRPr="004D57C9">
          <w:rPr>
            <w:rFonts w:ascii="Times New Roman" w:hAnsi="Times New Roman" w:cs="Times New Roman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перед боковыми входами в храм и напротив алтаря. Перед главным входом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0,2 м</w:t>
        </w:r>
        <w:proofErr w:type="gramStart"/>
        <w:r w:rsidRPr="004D57C9">
          <w:rPr>
            <w:rFonts w:ascii="Times New Roman" w:hAnsi="Times New Roman" w:cs="Times New Roman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на одно место в храме.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зданий храмов.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 w:cs="Times New Roman"/>
          <w:kern w:val="1"/>
          <w:szCs w:val="20"/>
          <w:lang w:eastAsia="ru-RU"/>
        </w:rPr>
      </w:pPr>
      <w:r w:rsidRPr="004D57C9">
        <w:rPr>
          <w:rFonts w:ascii="Times New Roman" w:hAnsi="Times New Roman" w:cs="Times New Roman"/>
          <w:kern w:val="1"/>
          <w:szCs w:val="20"/>
          <w:lang w:eastAsia="ru-RU"/>
        </w:rPr>
        <w:t xml:space="preserve"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</w:t>
      </w:r>
      <w:proofErr w:type="gramStart"/>
      <w:r w:rsidRPr="004D57C9">
        <w:rPr>
          <w:rFonts w:ascii="Times New Roman" w:hAnsi="Times New Roman" w:cs="Times New Roman"/>
          <w:kern w:val="1"/>
          <w:szCs w:val="20"/>
          <w:lang w:eastAsia="ru-RU"/>
        </w:rPr>
        <w:t>люфт-клозетов</w:t>
      </w:r>
      <w:proofErr w:type="gramEnd"/>
      <w:r w:rsidRPr="004D57C9">
        <w:rPr>
          <w:rFonts w:ascii="Times New Roman" w:hAnsi="Times New Roman" w:cs="Times New Roman"/>
          <w:kern w:val="1"/>
          <w:szCs w:val="20"/>
          <w:lang w:eastAsia="ru-RU"/>
        </w:rPr>
        <w:t>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 Комплексное благоустройство общественно-деловых зон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При проектировании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комплексного благоустройства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примагистральные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и специализированные общественные зоны населенных пунктов.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3.3.3.</w:t>
      </w:r>
      <w:r w:rsidRPr="004D57C9">
        <w:rPr>
          <w:rFonts w:ascii="Times New Roman" w:hAnsi="Times New Roman" w:cs="Times New Roman"/>
          <w:szCs w:val="20"/>
          <w:lang w:eastAsia="ru-RU"/>
        </w:rPr>
        <w:t>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b/>
          <w:szCs w:val="20"/>
          <w:lang w:eastAsia="ru-RU"/>
        </w:rPr>
        <w:t>3.3.5.</w:t>
      </w:r>
      <w:r w:rsidRPr="004D57C9">
        <w:rPr>
          <w:rFonts w:ascii="Times New Roman" w:hAnsi="Times New Roman" w:cs="Times New Roman"/>
          <w:szCs w:val="20"/>
          <w:lang w:eastAsia="ru-RU"/>
        </w:rPr>
        <w:t>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Для сбора бытового мусора на улицах, площадях, объектах рекреации следует применять малогабаритные (малые) контейнеры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(менее </w:t>
      </w:r>
      <w:smartTag w:uri="urn:schemas-microsoft-com:office:smarttags" w:element="metricconverter">
        <w:smartTagPr>
          <w:attr w:name="ProductID" w:val="0,5 куб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0,5 куб.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Подгорное - не более </w:t>
      </w:r>
      <w:smartTag w:uri="urn:schemas-microsoft-com:office:smarttags" w:element="metricconverter">
        <w:smartTagPr>
          <w:attr w:name="ProductID" w:val="6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других территорий села Подгорное - не более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. Кроме того, урны следует устанавливать на остановках общественного транспорта. 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3.3.7.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территории общественных центров населенных пунктов поселения,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примагистральных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общественного назначения рекомендуется применение декоративных металлических ограждений.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вытаптывания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0,9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0,8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более в зависимости от возраста, породы дерева и прочих характеристик.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kern w:val="1"/>
          <w:szCs w:val="20"/>
          <w:lang w:eastAsia="ru-RU"/>
        </w:rPr>
        <w:t>4. РЕКРЕАЦИОННЫЕ ЗОНЫ ПОСЕЛЕНИЯ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4.1. Общие требования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>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4.1.1.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4.2. Озелененные территории общего пользования</w:t>
      </w: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>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озелененных территориях нормируются: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габариты допускаемой застройки и ее назначение;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расстояния от зеленых насаждений до зданий, сооружений, коммуникаций.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4.2.3.</w:t>
      </w:r>
      <w:r w:rsidRPr="004D57C9">
        <w:rPr>
          <w:rFonts w:ascii="Times New Roman" w:hAnsi="Times New Roman" w:cs="Times New Roman"/>
          <w:color w:val="0000FF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При реконструкции объектов рекреации следует предусматривать: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тропиночной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сети),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разреживание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4.2.4.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периметральное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Для пешеходных коммуникаций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szCs w:val="20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0,75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Покрытия площадок, дорожно-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тропиночной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4.2.5</w:t>
      </w:r>
      <w:r w:rsidRPr="004D57C9">
        <w:rPr>
          <w:rFonts w:ascii="Times New Roman" w:hAnsi="Times New Roman" w:cs="Times New Roman"/>
          <w:b/>
          <w:color w:val="0000FF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color w:val="0000FF"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szCs w:val="20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10).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Таблица 10 Обеспеченность озелененными территориями участков общественной и производственной застройки (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в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%)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440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Территории озеленения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детских садов-яслей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Не менее 50  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школ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Не менее 40  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больниц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50 &lt;*&gt; - 65  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20 &lt;*&gt; - 30  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Не менее 40        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производственной застройки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10 - 15 &lt;**&gt;        </w:t>
            </w:r>
          </w:p>
        </w:tc>
      </w:tr>
    </w:tbl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&lt;**&gt; В зависимости от отраслевой направленности производства.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Для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улично-дорожной сети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11. При этом следует учитывать направление преобладающих ветров и возможность складирования снега на разделительных полосах.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11. Минимальные расстояния от посадок до границ улично-дорожной сети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5125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Категории улиц и дорог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Расстояние от оси ствола дерева, кустарника,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446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Магистральные улицы </w:t>
            </w:r>
          </w:p>
        </w:tc>
        <w:tc>
          <w:tcPr>
            <w:tcW w:w="5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3 - 4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446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5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2 - 3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446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Проезды </w:t>
            </w:r>
          </w:p>
        </w:tc>
        <w:tc>
          <w:tcPr>
            <w:tcW w:w="5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1,5 - 2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Для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технических зон инженерных коммуникаций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Шумозащитные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(с узкой кроной),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подкроновое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пространство следует заполнять рядами кустарника.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12. Расстояния от зданий и сооружений до зеленых насаждений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2409"/>
        <w:gridCol w:w="2192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Здание, сооружение</w:t>
            </w:r>
          </w:p>
        </w:tc>
        <w:tc>
          <w:tcPr>
            <w:tcW w:w="4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Расстояния,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, от здания,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сооружения, объекта до оси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ствола дерева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кустарника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2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Подошва откоса, террасы и др.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146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2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Подземные сети: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right="101" w:firstLine="386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  <w:tc>
          <w:tcPr>
            <w:tcW w:w="2192" w:type="dxa"/>
            <w:tcBorders>
              <w:left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146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386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тепловая сеть (стенка канала, тоннеля или оболочка при </w:t>
            </w:r>
            <w:proofErr w:type="spell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бесканальной</w:t>
            </w:r>
            <w:proofErr w:type="spell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прокладке)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  <w:jc w:val="center"/>
        </w:trPr>
        <w:tc>
          <w:tcPr>
            <w:tcW w:w="5146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386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386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</w:t>
            </w:r>
          </w:p>
        </w:tc>
      </w:tr>
    </w:tbl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Примечания: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i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и должны быть увеличены для деревьев с кроной большего диаметра.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Arial" w:hAnsi="Arial" w:cs="Times New Roman"/>
          <w:b/>
          <w:i/>
          <w:sz w:val="28"/>
          <w:szCs w:val="20"/>
          <w:lang w:eastAsia="ru-RU"/>
        </w:rPr>
      </w:pP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 Зоны учреждений отдыха и оздоровления детей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Для проектирования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учреждений отдыха и оздоровления детей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Земельный участок должен быть сухим, чистым, хорошо проветриваемым 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инсолируемым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 учетом розы ветров;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 наветренной стороны от источников шума и загрязнений атмосферного воздуха;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выше по течению водоемов относительно источников загрязнения;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вблизи лесных массивов и водоемов.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о-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, газо-, электроснабжение).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4.3.6.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4.3.7.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0,9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и не менее двух въездов (основной и хозяйственный).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4.3.8.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от территории основной застройки.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4.3.9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ст сбр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500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Территория должна быть благоустроена.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4.3.10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с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4.3.11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4 м</w:t>
        </w:r>
        <w:proofErr w:type="gramStart"/>
        <w:r w:rsidRPr="004D57C9">
          <w:rPr>
            <w:rFonts w:ascii="Times New Roman" w:hAnsi="Times New Roman" w:cs="Times New Roman"/>
            <w:color w:val="000000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 м</w:t>
        </w:r>
        <w:r w:rsidRPr="004D57C9">
          <w:rPr>
            <w:rFonts w:ascii="Times New Roman" w:hAnsi="Times New Roman" w:cs="Times New Roman"/>
            <w:color w:val="000000"/>
            <w:szCs w:val="20"/>
            <w:vertAlign w:val="superscript"/>
            <w:lang w:eastAsia="ru-RU"/>
          </w:rPr>
          <w:t>2</w:t>
        </w:r>
      </w:smartTag>
      <w:r w:rsidRPr="004D57C9">
        <w:rPr>
          <w:rFonts w:ascii="Times New Roman" w:hAnsi="Times New Roman" w:cs="Times New Roman"/>
          <w:color w:val="000000"/>
          <w:szCs w:val="20"/>
          <w:vertAlign w:val="superscript"/>
          <w:lang w:eastAsia="ru-RU"/>
        </w:rPr>
        <w:t xml:space="preserve"> 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на 1 место в санаторно-оздоровительных учреждениях. Коэффициент одновременной загрузки пляжа для детских оздоровительных учреждений равен 0,5 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для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санаторно-оздоровительных – 1.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25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0,25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на 1 ребенка.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4.3.12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4D57C9">
        <w:rPr>
          <w:rFonts w:ascii="Times New Roman" w:hAnsi="Times New Roman" w:cs="Times New Roman"/>
          <w:color w:val="000000"/>
          <w:spacing w:val="-2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4D57C9">
          <w:rPr>
            <w:rFonts w:ascii="Times New Roman" w:hAnsi="Times New Roman" w:cs="Times New Roman"/>
            <w:color w:val="000000"/>
            <w:spacing w:val="-2"/>
            <w:szCs w:val="20"/>
            <w:lang w:eastAsia="ru-RU"/>
          </w:rPr>
          <w:t>25 м</w:t>
        </w:r>
      </w:smartTag>
      <w:r w:rsidRPr="004D57C9">
        <w:rPr>
          <w:rFonts w:ascii="Times New Roman" w:hAnsi="Times New Roman" w:cs="Times New Roman"/>
          <w:color w:val="000000"/>
          <w:spacing w:val="-2"/>
          <w:szCs w:val="20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4D57C9">
          <w:rPr>
            <w:rFonts w:ascii="Times New Roman" w:hAnsi="Times New Roman" w:cs="Times New Roman"/>
            <w:color w:val="000000"/>
            <w:spacing w:val="-2"/>
            <w:szCs w:val="20"/>
            <w:lang w:eastAsia="ru-RU"/>
          </w:rPr>
          <w:t>5 м</w:t>
        </w:r>
        <w:proofErr w:type="gramStart"/>
        <w:r w:rsidRPr="004D57C9">
          <w:rPr>
            <w:rFonts w:ascii="Times New Roman" w:hAnsi="Times New Roman" w:cs="Times New Roman"/>
            <w:color w:val="000000"/>
            <w:spacing w:val="-2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color w:val="000000"/>
          <w:spacing w:val="-2"/>
          <w:szCs w:val="20"/>
          <w:lang w:eastAsia="ru-RU"/>
        </w:rPr>
        <w:t>, в непроточных водоемах –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10 м</w:t>
        </w:r>
        <w:r w:rsidRPr="004D57C9">
          <w:rPr>
            <w:rFonts w:ascii="Times New Roman" w:hAnsi="Times New Roman" w:cs="Times New Roman"/>
            <w:color w:val="000000"/>
            <w:szCs w:val="20"/>
            <w:vertAlign w:val="superscript"/>
            <w:lang w:eastAsia="ru-RU"/>
          </w:rPr>
          <w:t>2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1,2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50 см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70 см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4.3.13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4.3.14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4.3.15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централизованными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4D57C9" w:rsidRPr="004D57C9" w:rsidRDefault="004D57C9" w:rsidP="004D57C9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4.3.16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lastRenderedPageBreak/>
        <w:t xml:space="preserve">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от жилых зданий и столовой по согласованию с местными органами </w:t>
      </w:r>
      <w:proofErr w:type="spell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Роспотребнадзора</w:t>
      </w:r>
      <w:proofErr w:type="spell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4.3.17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1,0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25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от зданий.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4.3.18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 ТРАНСПОРТНАЯ ИНФРАСТРУКТУРА НАСЕЛЕННЫХ ПУНКТОВ</w:t>
      </w: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ПОСЕЛЕНИЯ 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 Улично-дорожная сеть</w:t>
      </w:r>
      <w:r w:rsidRPr="004D57C9">
        <w:rPr>
          <w:rFonts w:ascii="Arial" w:hAnsi="Arial" w:cs="Times New Roman"/>
          <w:b/>
          <w:i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населенных пунктов поселения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шумозащитных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устройств, установки технических средств информации и организации движения.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5.1.2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5.1.3</w:t>
      </w:r>
      <w:r w:rsidRPr="004D57C9">
        <w:rPr>
          <w:rFonts w:ascii="Times New Roman" w:hAnsi="Times New Roman" w:cs="Times New Roman"/>
          <w:szCs w:val="20"/>
          <w:lang w:eastAsia="ru-RU"/>
        </w:rPr>
        <w:t>. Основные расчетные параметры уличной сети следует устанавливать в соответствии с таблицей 16.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16  Расчетные параметры уличной сети города 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36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км</w:t>
            </w:r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/ч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Ширина в </w:t>
            </w: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крас-ных</w:t>
            </w:r>
            <w:proofErr w:type="spellEnd"/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ли-</w:t>
            </w:r>
            <w:proofErr w:type="spell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ниях</w:t>
            </w:r>
            <w:proofErr w:type="spell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, м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Ширина полосы движения, </w:t>
            </w:r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Число полос </w:t>
            </w: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Наимень-ший</w:t>
            </w:r>
            <w:proofErr w:type="spellEnd"/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Наиболь-ший</w:t>
            </w:r>
            <w:proofErr w:type="spellEnd"/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про-дольный уклон, 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Ширина </w:t>
            </w:r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пешеход-ной</w:t>
            </w:r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части тротуара, м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Магистральные улицы: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37-75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4-8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6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6"/>
                <w:szCs w:val="20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35-45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2-4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2,25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proofErr w:type="spell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пешеходно</w:t>
            </w:r>
            <w:proofErr w:type="spell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-транспортные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30-40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C0C0C0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Улицы и дороги местного </w:t>
            </w: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15-25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2-3*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15-25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C0C0C0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10-11,5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2,75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7-10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Пешеходные улицы: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103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  <w:t xml:space="preserve">По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проекту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103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0,75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проекту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1-2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pacing w:val="40"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pacing w:val="40"/>
          <w:szCs w:val="20"/>
          <w:lang w:eastAsia="ru-RU"/>
        </w:rPr>
        <w:t>Примечания: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ч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i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i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4D57C9">
          <w:rPr>
            <w:rFonts w:ascii="Times New Roman" w:hAnsi="Times New Roman" w:cs="Times New Roman"/>
            <w:i/>
            <w:szCs w:val="20"/>
            <w:lang w:eastAsia="ru-RU"/>
          </w:rPr>
          <w:t>0,5 м</w:t>
        </w:r>
      </w:smartTag>
      <w:r w:rsidRPr="004D57C9">
        <w:rPr>
          <w:rFonts w:ascii="Times New Roman" w:hAnsi="Times New Roman" w:cs="Times New Roman"/>
          <w:i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5.1.4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Для обеспечения подъездов к группам жилых зданий и иных объектов, а также к отдельным зданиям в микрорайонах (кварталах) следует предусматривать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проезды</w:t>
      </w:r>
      <w:r w:rsidRPr="004D57C9">
        <w:rPr>
          <w:rFonts w:ascii="Times New Roman" w:hAnsi="Times New Roman" w:cs="Times New Roman"/>
          <w:szCs w:val="20"/>
          <w:lang w:eastAsia="ru-RU"/>
        </w:rPr>
        <w:t>, в том числе: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4,2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заканчиваться разворотными площадками размером в плане 16*16 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Использование разворотных площадок для стоянки автомобилей не допускается.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5.1.6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Тротуары могут устраиваться с одной стороны.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5.1.7.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зоне малоэтажной жилой застройки в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торостепенные проезды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Устройство тротуаров вдоль второстепенных проездов не регламентируется.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Допускается устройство тупиковых второстепенных проездов шириной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; при протяженности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необходимо предусматривать устройство разъездных площадок.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5.1.8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0,15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5.1.9</w:t>
      </w:r>
      <w:r w:rsidRPr="004D57C9">
        <w:rPr>
          <w:rFonts w:ascii="Times New Roman" w:hAnsi="Times New Roman" w:cs="Times New Roman"/>
          <w:szCs w:val="20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Наименьшие расстояния безопасности от края велодорожки следует принимать,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до проезжей части, опор транспортных сооружений и деревьев – 0,75;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до тротуаров – 0,5;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до стоянок автомобилей и остановок общественного транспорта – 1,5.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5.1.10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поребрики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см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4,2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 Сооружения и устройства для хранения, парковки и обслуживания транспортных средств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Общая обеспеченность закрытыми и открытыми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автостоянками для постоянного хранения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автомобилей должна быть не менее 90 % расчетного числа индивидуальных легковых автомобилей.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мотоциклы и мотороллеры с колясками, мотоколяски – 0,5;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мотоциклы и мотороллеры без колясок – 0,25;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мопеды и велосипеды – 0,1.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Расчетное число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 в зависимости от категории жилого фонда по уровню комфорта следует принимать в соответствии с таблицей 8.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800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End"/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Сооружения для постоянного хранения легковых автомобилей всех категорий следует проектировать: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17.</w:t>
      </w:r>
    </w:p>
    <w:p w:rsidR="004D57C9" w:rsidRPr="004D57C9" w:rsidRDefault="004D57C9" w:rsidP="004D57C9">
      <w:pPr>
        <w:widowControl w:val="0"/>
        <w:tabs>
          <w:tab w:val="left" w:pos="2540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ab/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17. Санитарные разрывы при размещении автостоянок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2"/>
        <w:gridCol w:w="1175"/>
        <w:gridCol w:w="799"/>
        <w:gridCol w:w="957"/>
        <w:gridCol w:w="957"/>
        <w:gridCol w:w="796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Расстояние,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, не менее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8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Открытые автостоянки и паркинги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вместимостью, </w:t>
            </w:r>
            <w:proofErr w:type="spell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-мест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11-50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51-100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101-300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свыше 300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 расчету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 расчету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гостевые автостоянки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) для парковки легковых автомобилей посетителей, из расчета 4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5.2.5.</w:t>
      </w:r>
      <w:r w:rsidRPr="004D57C9">
        <w:rPr>
          <w:rFonts w:ascii="Times New Roman" w:hAnsi="Times New Roman" w:cs="Times New Roman"/>
          <w:szCs w:val="20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-место, м</w:t>
      </w:r>
      <w:proofErr w:type="gramStart"/>
      <w:r w:rsidRPr="004D57C9">
        <w:rPr>
          <w:rFonts w:ascii="Times New Roman" w:hAnsi="Times New Roman" w:cs="Times New Roman"/>
          <w:szCs w:val="20"/>
          <w:vertAlign w:val="superscript"/>
          <w:lang w:eastAsia="ru-RU"/>
        </w:rPr>
        <w:t>2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легковых автомобилей – 25;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грузовых автомобилей – 40;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автобусов – 40;     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велосипедов – 0,9.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5.2.6</w:t>
      </w:r>
      <w:r w:rsidRPr="004D57C9">
        <w:rPr>
          <w:rFonts w:ascii="Times New Roman" w:hAnsi="Times New Roman" w:cs="Times New Roman"/>
          <w:szCs w:val="20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5.2.7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Объекты по техническому обслуживанию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га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, для станций: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5 постов – 0,5;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10 постов – 1,0;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15 постов – 1,5.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pacing w:val="-2"/>
          <w:szCs w:val="20"/>
          <w:lang w:eastAsia="ru-RU"/>
        </w:rPr>
      </w:pP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lastRenderedPageBreak/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18.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center"/>
        <w:textAlignment w:val="baseline"/>
        <w:rPr>
          <w:rFonts w:ascii="Times New Roman" w:hAnsi="Times New Roman" w:cs="Times New Roman"/>
          <w:spacing w:val="-2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Таблица 18. </w:t>
      </w: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>Санитарные разрывы от объектов по обслуживанию автомобилей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4"/>
        <w:gridCol w:w="2784"/>
      </w:tblGrid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Объекты по обслуживанию автомобилей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Расстояние,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, не менее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5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5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5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Грузовых автомобилей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300</w:t>
            </w:r>
          </w:p>
        </w:tc>
      </w:tr>
      <w:tr w:rsidR="004D57C9" w:rsidRPr="004D57C9" w:rsidTr="004D5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7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300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sectPr w:rsidR="004D57C9" w:rsidRPr="004D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06F"/>
    <w:multiLevelType w:val="singleLevel"/>
    <w:tmpl w:val="805841BA"/>
    <w:lvl w:ilvl="0">
      <w:start w:val="1"/>
      <w:numFmt w:val="decimal"/>
      <w:lvlText w:val="%1"/>
      <w:legacy w:legacy="1" w:legacySpace="0" w:legacyIndent="360"/>
      <w:lvlJc w:val="left"/>
      <w:pPr>
        <w:ind w:left="900" w:hanging="360"/>
      </w:pPr>
    </w:lvl>
  </w:abstractNum>
  <w:abstractNum w:abstractNumId="1">
    <w:nsid w:val="15087E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01052"/>
    <w:multiLevelType w:val="multilevel"/>
    <w:tmpl w:val="AE24071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1%2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1%2%3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1%2%3%4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1%2%3%4%5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1%2%3%4%5%6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1%2%3%4%5%6%7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1%2%3%4%5%6%7%8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%1%2%3%4%5%6%7%8%9"/>
      <w:legacy w:legacy="1" w:legacySpace="0" w:legacyIndent="360"/>
      <w:lvlJc w:val="left"/>
      <w:pPr>
        <w:ind w:left="3240" w:hanging="360"/>
      </w:pPr>
    </w:lvl>
  </w:abstractNum>
  <w:abstractNum w:abstractNumId="3">
    <w:nsid w:val="26361121"/>
    <w:multiLevelType w:val="hybridMultilevel"/>
    <w:tmpl w:val="FC4C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3785"/>
    <w:multiLevelType w:val="singleLevel"/>
    <w:tmpl w:val="31120A2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8"/>
    <w:rsid w:val="004D57C9"/>
    <w:rsid w:val="00CC1DF1"/>
    <w:rsid w:val="00E21FFE"/>
    <w:rsid w:val="00E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08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Times New Roman"/>
      <w:b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7C9"/>
    <w:rPr>
      <w:rFonts w:ascii="Arial" w:eastAsia="Times New Roman" w:hAnsi="Arial" w:cs="Times New Roman"/>
      <w:b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7C9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D57C9"/>
  </w:style>
  <w:style w:type="character" w:customStyle="1" w:styleId="a4">
    <w:name w:val="Символ нумерации"/>
    <w:rsid w:val="004D57C9"/>
  </w:style>
  <w:style w:type="paragraph" w:styleId="a5">
    <w:name w:val="Body Text"/>
    <w:basedOn w:val="a"/>
    <w:link w:val="a6"/>
    <w:rsid w:val="004D57C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5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5"/>
    <w:rsid w:val="004D57C9"/>
  </w:style>
  <w:style w:type="paragraph" w:styleId="a8">
    <w:name w:val="Title"/>
    <w:basedOn w:val="a"/>
    <w:link w:val="a9"/>
    <w:qFormat/>
    <w:rsid w:val="004D57C9"/>
    <w:pPr>
      <w:widowControl w:val="0"/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57C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D57C9"/>
    <w:pPr>
      <w:ind w:left="240" w:hanging="240"/>
    </w:pPr>
  </w:style>
  <w:style w:type="paragraph" w:styleId="aa">
    <w:name w:val="index heading"/>
    <w:basedOn w:val="a"/>
    <w:rsid w:val="004D57C9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semiHidden/>
    <w:rsid w:val="004D57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D57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1"/>
    <w:basedOn w:val="a0"/>
    <w:rsid w:val="004D57C9"/>
    <w:rPr>
      <w:rFonts w:ascii="Arial" w:hAnsi="Arial"/>
      <w:b/>
      <w:i/>
      <w:noProof w:val="0"/>
      <w:sz w:val="28"/>
      <w:lang w:val="ru-RU"/>
    </w:rPr>
  </w:style>
  <w:style w:type="character" w:styleId="ad">
    <w:name w:val="Hyperlink"/>
    <w:rsid w:val="004D57C9"/>
    <w:rPr>
      <w:color w:val="000080"/>
      <w:u w:val="single"/>
    </w:rPr>
  </w:style>
  <w:style w:type="character" w:customStyle="1" w:styleId="grame">
    <w:name w:val="grame"/>
    <w:basedOn w:val="a0"/>
    <w:rsid w:val="004D57C9"/>
  </w:style>
  <w:style w:type="character" w:customStyle="1" w:styleId="spelle">
    <w:name w:val="spelle"/>
    <w:basedOn w:val="a0"/>
    <w:rsid w:val="004D57C9"/>
  </w:style>
  <w:style w:type="paragraph" w:customStyle="1" w:styleId="ConsPlusNormal">
    <w:name w:val="ConsPlu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"/>
    <w:rsid w:val="004D57C9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D57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57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Normal">
    <w:name w:val="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firstLine="220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08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Times New Roman"/>
      <w:b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7C9"/>
    <w:rPr>
      <w:rFonts w:ascii="Arial" w:eastAsia="Times New Roman" w:hAnsi="Arial" w:cs="Times New Roman"/>
      <w:b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7C9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D57C9"/>
  </w:style>
  <w:style w:type="character" w:customStyle="1" w:styleId="a4">
    <w:name w:val="Символ нумерации"/>
    <w:rsid w:val="004D57C9"/>
  </w:style>
  <w:style w:type="paragraph" w:styleId="a5">
    <w:name w:val="Body Text"/>
    <w:basedOn w:val="a"/>
    <w:link w:val="a6"/>
    <w:rsid w:val="004D57C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5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5"/>
    <w:rsid w:val="004D57C9"/>
  </w:style>
  <w:style w:type="paragraph" w:styleId="a8">
    <w:name w:val="Title"/>
    <w:basedOn w:val="a"/>
    <w:link w:val="a9"/>
    <w:qFormat/>
    <w:rsid w:val="004D57C9"/>
    <w:pPr>
      <w:widowControl w:val="0"/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57C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D57C9"/>
    <w:pPr>
      <w:ind w:left="240" w:hanging="240"/>
    </w:pPr>
  </w:style>
  <w:style w:type="paragraph" w:styleId="aa">
    <w:name w:val="index heading"/>
    <w:basedOn w:val="a"/>
    <w:rsid w:val="004D57C9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semiHidden/>
    <w:rsid w:val="004D57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D57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1"/>
    <w:basedOn w:val="a0"/>
    <w:rsid w:val="004D57C9"/>
    <w:rPr>
      <w:rFonts w:ascii="Arial" w:hAnsi="Arial"/>
      <w:b/>
      <w:i/>
      <w:noProof w:val="0"/>
      <w:sz w:val="28"/>
      <w:lang w:val="ru-RU"/>
    </w:rPr>
  </w:style>
  <w:style w:type="character" w:styleId="ad">
    <w:name w:val="Hyperlink"/>
    <w:rsid w:val="004D57C9"/>
    <w:rPr>
      <w:color w:val="000080"/>
      <w:u w:val="single"/>
    </w:rPr>
  </w:style>
  <w:style w:type="character" w:customStyle="1" w:styleId="grame">
    <w:name w:val="grame"/>
    <w:basedOn w:val="a0"/>
    <w:rsid w:val="004D57C9"/>
  </w:style>
  <w:style w:type="character" w:customStyle="1" w:styleId="spelle">
    <w:name w:val="spelle"/>
    <w:basedOn w:val="a0"/>
    <w:rsid w:val="004D57C9"/>
  </w:style>
  <w:style w:type="paragraph" w:customStyle="1" w:styleId="ConsPlusNormal">
    <w:name w:val="ConsPlu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"/>
    <w:rsid w:val="004D57C9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D57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57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Normal">
    <w:name w:val="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firstLine="220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10002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2014-12-29T08:04:00Z</cp:lastPrinted>
  <dcterms:created xsi:type="dcterms:W3CDTF">2014-12-29T07:18:00Z</dcterms:created>
  <dcterms:modified xsi:type="dcterms:W3CDTF">2014-12-29T08:05:00Z</dcterms:modified>
</cp:coreProperties>
</file>