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EC1CE0" w:rsidP="00EC1CE0">
      <w:pPr>
        <w:ind w:left="2832"/>
        <w:rPr>
          <w:sz w:val="32"/>
          <w:szCs w:val="32"/>
        </w:rPr>
      </w:pPr>
      <w:r>
        <w:rPr>
          <w:sz w:val="32"/>
          <w:szCs w:val="32"/>
        </w:rPr>
        <w:t xml:space="preserve">        __01__      __01__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12.01.2015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7947FF" w:rsidRPr="007947FF" w:rsidRDefault="007947FF" w:rsidP="007947FF">
      <w:pPr>
        <w:jc w:val="center"/>
        <w:rPr>
          <w:b/>
          <w:sz w:val="32"/>
          <w:szCs w:val="32"/>
        </w:rPr>
      </w:pPr>
      <w:r w:rsidRPr="007947FF">
        <w:rPr>
          <w:b/>
          <w:sz w:val="32"/>
          <w:szCs w:val="32"/>
        </w:rPr>
        <w:lastRenderedPageBreak/>
        <w:t>Воронежская область Калачеевский муниципальный район</w:t>
      </w:r>
    </w:p>
    <w:p w:rsidR="007947FF" w:rsidRPr="007947FF" w:rsidRDefault="007947FF" w:rsidP="007947FF">
      <w:pPr>
        <w:jc w:val="center"/>
        <w:rPr>
          <w:b/>
          <w:sz w:val="32"/>
          <w:szCs w:val="32"/>
        </w:rPr>
      </w:pPr>
      <w:r w:rsidRPr="007947FF">
        <w:rPr>
          <w:b/>
          <w:sz w:val="32"/>
          <w:szCs w:val="32"/>
        </w:rPr>
        <w:t>Подгоренское сельское поселение</w:t>
      </w:r>
    </w:p>
    <w:p w:rsidR="007947FF" w:rsidRPr="007947FF" w:rsidRDefault="007947FF" w:rsidP="007947FF">
      <w:pPr>
        <w:suppressAutoHyphens/>
        <w:jc w:val="center"/>
        <w:rPr>
          <w:b/>
          <w:bCs/>
          <w:sz w:val="32"/>
          <w:szCs w:val="32"/>
          <w:lang w:eastAsia="ar-SA"/>
        </w:rPr>
      </w:pPr>
      <w:r w:rsidRPr="007947FF">
        <w:rPr>
          <w:b/>
          <w:bCs/>
          <w:sz w:val="32"/>
          <w:szCs w:val="32"/>
          <w:lang w:eastAsia="ar-SA"/>
        </w:rPr>
        <w:t>Публичные слушания</w:t>
      </w:r>
    </w:p>
    <w:p w:rsidR="007947FF" w:rsidRPr="007947FF" w:rsidRDefault="007947FF" w:rsidP="007947FF">
      <w:pPr>
        <w:jc w:val="center"/>
        <w:rPr>
          <w:b/>
          <w:sz w:val="32"/>
          <w:szCs w:val="32"/>
        </w:rPr>
      </w:pPr>
    </w:p>
    <w:p w:rsidR="007947FF" w:rsidRPr="007947FF" w:rsidRDefault="007947FF" w:rsidP="007947FF">
      <w:pPr>
        <w:jc w:val="center"/>
        <w:rPr>
          <w:b/>
          <w:sz w:val="32"/>
          <w:szCs w:val="32"/>
        </w:rPr>
      </w:pPr>
      <w:r w:rsidRPr="007947FF">
        <w:rPr>
          <w:b/>
          <w:sz w:val="32"/>
          <w:szCs w:val="32"/>
        </w:rPr>
        <w:t>Решение</w:t>
      </w:r>
    </w:p>
    <w:p w:rsidR="007947FF" w:rsidRPr="007947FF" w:rsidRDefault="007947FF" w:rsidP="007947FF">
      <w:pPr>
        <w:rPr>
          <w:sz w:val="28"/>
          <w:szCs w:val="28"/>
        </w:rPr>
      </w:pPr>
    </w:p>
    <w:p w:rsidR="007947FF" w:rsidRPr="007947FF" w:rsidRDefault="007947FF" w:rsidP="007947FF">
      <w:pPr>
        <w:rPr>
          <w:sz w:val="28"/>
          <w:szCs w:val="28"/>
        </w:rPr>
      </w:pPr>
    </w:p>
    <w:p w:rsidR="007947FF" w:rsidRPr="007947FF" w:rsidRDefault="007947FF" w:rsidP="007947FF">
      <w:pPr>
        <w:rPr>
          <w:sz w:val="28"/>
          <w:szCs w:val="28"/>
        </w:rPr>
      </w:pPr>
    </w:p>
    <w:p w:rsidR="007947FF" w:rsidRPr="007947FF" w:rsidRDefault="007947FF" w:rsidP="007947FF">
      <w:r w:rsidRPr="007947FF">
        <w:t xml:space="preserve">от 12 января 2015 г. </w:t>
      </w:r>
    </w:p>
    <w:p w:rsidR="007947FF" w:rsidRPr="007947FF" w:rsidRDefault="007947FF" w:rsidP="007947FF">
      <w:r w:rsidRPr="007947FF">
        <w:t xml:space="preserve">           с. Подгорное</w:t>
      </w:r>
    </w:p>
    <w:p w:rsidR="007947FF" w:rsidRPr="007947FF" w:rsidRDefault="007947FF" w:rsidP="007947FF"/>
    <w:p w:rsidR="007947FF" w:rsidRPr="007947FF" w:rsidRDefault="007947FF" w:rsidP="007947FF">
      <w:pPr>
        <w:ind w:right="4535"/>
        <w:jc w:val="both"/>
        <w:rPr>
          <w:b/>
        </w:rPr>
      </w:pPr>
      <w:r w:rsidRPr="007947FF">
        <w:rPr>
          <w:b/>
        </w:rPr>
        <w:t>О результатах публичных слушаний по проекту  решения Совета народных депутатов Подгоренского сельского поселения «О принятии Устава Подгоренского сельского поселения Калачеевского муниципального района Воронежской области»</w:t>
      </w:r>
    </w:p>
    <w:p w:rsidR="007947FF" w:rsidRPr="007947FF" w:rsidRDefault="007947FF" w:rsidP="007947FF"/>
    <w:p w:rsidR="007947FF" w:rsidRPr="007947FF" w:rsidRDefault="007947FF" w:rsidP="007947FF"/>
    <w:p w:rsidR="007947FF" w:rsidRPr="007947FF" w:rsidRDefault="007947FF" w:rsidP="007947FF">
      <w:pPr>
        <w:ind w:firstLine="708"/>
        <w:jc w:val="both"/>
      </w:pPr>
      <w:r w:rsidRPr="007947FF">
        <w:t>Рассмотрев и обсудив проект решения Совета народных депутатов Подгоренского сельского поселения «О принятии Устава Подгоренского сельского поселения Калачеевского муниципального района Воронежской области»,</w:t>
      </w:r>
    </w:p>
    <w:p w:rsidR="007947FF" w:rsidRPr="007947FF" w:rsidRDefault="007947FF" w:rsidP="007947FF"/>
    <w:p w:rsidR="007947FF" w:rsidRPr="007947FF" w:rsidRDefault="007947FF" w:rsidP="007947FF">
      <w:pPr>
        <w:jc w:val="center"/>
        <w:rPr>
          <w:b/>
        </w:rPr>
      </w:pPr>
      <w:r w:rsidRPr="007947FF">
        <w:rPr>
          <w:b/>
        </w:rPr>
        <w:t>участники публичных слушаний решили:</w:t>
      </w:r>
    </w:p>
    <w:p w:rsidR="007947FF" w:rsidRPr="007947FF" w:rsidRDefault="007947FF" w:rsidP="007947FF">
      <w:pPr>
        <w:ind w:firstLine="709"/>
        <w:jc w:val="center"/>
      </w:pPr>
    </w:p>
    <w:p w:rsidR="007947FF" w:rsidRPr="007947FF" w:rsidRDefault="007947FF" w:rsidP="007947FF">
      <w:pPr>
        <w:jc w:val="both"/>
      </w:pPr>
      <w:r w:rsidRPr="007947FF">
        <w:t xml:space="preserve">       1.Одобрить проект решения Совета народных депутатов Подгоренского сельского поселения Калачеевского муниципального района Воронежской области «О принятии Устава Подгоренского сельского поселения Калачеевского муниципального района Воронежской области».</w:t>
      </w:r>
    </w:p>
    <w:p w:rsidR="007947FF" w:rsidRPr="007947FF" w:rsidRDefault="007947FF" w:rsidP="007947FF">
      <w:pPr>
        <w:jc w:val="both"/>
      </w:pPr>
      <w:r w:rsidRPr="007947FF">
        <w:t xml:space="preserve">      2. </w:t>
      </w:r>
      <w:proofErr w:type="gramStart"/>
      <w:r w:rsidRPr="007947FF">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«О принятии Устава Подгоренского сельского поселения Калачеевского муниципального района Воронежской области»   (решения Совета народных депутатов Подгоренского сельского поселения  «О проекте решения Совета народных депутатов Подгоренского сельского поселения «О принятии Устава Подгоренского сельского поселения Калачеевского муниципального района Воронежской области», опубликовано (обнародовано) в «Вестнике» муниципальных правовых актов Подгоренского</w:t>
      </w:r>
      <w:proofErr w:type="gramEnd"/>
      <w:r w:rsidRPr="007947FF">
        <w:t xml:space="preserve"> сельского поселения Калачеевского муниципального района Воронежской области №27 от 25.12.2014 г.</w:t>
      </w:r>
    </w:p>
    <w:p w:rsidR="007947FF" w:rsidRPr="007947FF" w:rsidRDefault="007947FF" w:rsidP="007947FF">
      <w:pPr>
        <w:jc w:val="both"/>
      </w:pPr>
      <w:r w:rsidRPr="007947FF">
        <w:t xml:space="preserve">       3.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7947FF" w:rsidRPr="007947FF" w:rsidRDefault="007947FF" w:rsidP="007947FF">
      <w:pPr>
        <w:ind w:left="360"/>
        <w:jc w:val="both"/>
      </w:pPr>
    </w:p>
    <w:p w:rsidR="007947FF" w:rsidRPr="007947FF" w:rsidRDefault="007947FF" w:rsidP="007947FF">
      <w:pPr>
        <w:ind w:left="360"/>
        <w:jc w:val="both"/>
      </w:pPr>
    </w:p>
    <w:p w:rsidR="007947FF" w:rsidRPr="007947FF" w:rsidRDefault="007947FF" w:rsidP="007947FF">
      <w:pPr>
        <w:ind w:left="360"/>
        <w:rPr>
          <w:b/>
        </w:rPr>
      </w:pPr>
      <w:r w:rsidRPr="007947FF">
        <w:rPr>
          <w:b/>
        </w:rPr>
        <w:t>Председатель рабочей группы по проведению</w:t>
      </w:r>
      <w:r w:rsidRPr="007947FF">
        <w:rPr>
          <w:b/>
        </w:rPr>
        <w:tab/>
      </w:r>
      <w:r w:rsidRPr="007947FF">
        <w:rPr>
          <w:b/>
        </w:rPr>
        <w:tab/>
      </w:r>
      <w:r w:rsidRPr="007947FF">
        <w:rPr>
          <w:b/>
        </w:rPr>
        <w:tab/>
      </w:r>
      <w:r w:rsidRPr="007947FF">
        <w:rPr>
          <w:b/>
        </w:rPr>
        <w:tab/>
      </w:r>
      <w:r w:rsidRPr="007947FF">
        <w:rPr>
          <w:b/>
        </w:rPr>
        <w:tab/>
      </w:r>
    </w:p>
    <w:p w:rsidR="007947FF" w:rsidRPr="007947FF" w:rsidRDefault="007947FF" w:rsidP="007947FF">
      <w:pPr>
        <w:ind w:left="360"/>
        <w:rPr>
          <w:b/>
        </w:rPr>
      </w:pPr>
      <w:r w:rsidRPr="007947FF">
        <w:rPr>
          <w:b/>
        </w:rPr>
        <w:t xml:space="preserve">публичных слушаний </w:t>
      </w:r>
      <w:r w:rsidRPr="007947FF">
        <w:rPr>
          <w:b/>
        </w:rPr>
        <w:tab/>
      </w:r>
      <w:r w:rsidRPr="007947FF">
        <w:rPr>
          <w:b/>
        </w:rPr>
        <w:tab/>
      </w:r>
      <w:r w:rsidRPr="007947FF">
        <w:rPr>
          <w:b/>
        </w:rPr>
        <w:tab/>
      </w:r>
      <w:r w:rsidRPr="007947FF">
        <w:rPr>
          <w:b/>
        </w:rPr>
        <w:tab/>
      </w:r>
      <w:r w:rsidRPr="007947FF">
        <w:rPr>
          <w:b/>
        </w:rPr>
        <w:tab/>
      </w:r>
      <w:r w:rsidRPr="007947FF">
        <w:rPr>
          <w:b/>
        </w:rPr>
        <w:tab/>
      </w:r>
      <w:r w:rsidRPr="007947FF">
        <w:rPr>
          <w:b/>
        </w:rPr>
        <w:tab/>
      </w:r>
    </w:p>
    <w:p w:rsidR="007947FF" w:rsidRPr="007947FF" w:rsidRDefault="007947FF" w:rsidP="007947FF">
      <w:pPr>
        <w:ind w:left="360"/>
      </w:pPr>
      <w:r w:rsidRPr="007947FF">
        <w:rPr>
          <w:b/>
        </w:rPr>
        <w:t>(ведущий</w:t>
      </w:r>
      <w:r w:rsidRPr="007947FF">
        <w:rPr>
          <w:b/>
        </w:rPr>
        <w:tab/>
        <w:t xml:space="preserve"> публичных слушаний)           </w:t>
      </w:r>
      <w:r w:rsidRPr="007947FF">
        <w:rPr>
          <w:b/>
        </w:rPr>
        <w:tab/>
      </w:r>
      <w:r w:rsidRPr="007947FF">
        <w:rPr>
          <w:b/>
        </w:rPr>
        <w:tab/>
      </w:r>
      <w:r w:rsidRPr="007947FF">
        <w:rPr>
          <w:b/>
        </w:rPr>
        <w:tab/>
      </w:r>
      <w:r w:rsidRPr="007947FF">
        <w:rPr>
          <w:b/>
        </w:rPr>
        <w:tab/>
        <w:t xml:space="preserve">       Н.Р. Пономарев</w:t>
      </w:r>
    </w:p>
    <w:p w:rsidR="00EC1CE0" w:rsidRDefault="00EC1CE0" w:rsidP="00EC1CE0">
      <w:bookmarkStart w:id="0" w:name="_GoBack"/>
      <w:bookmarkEnd w:id="0"/>
    </w:p>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EC1CE0" w:rsidRDefault="00EC1CE0" w:rsidP="00EC1CE0">
      <w:pPr>
        <w:rPr>
          <w:sz w:val="26"/>
          <w:szCs w:val="26"/>
        </w:rPr>
      </w:pPr>
      <w:r>
        <w:rPr>
          <w:sz w:val="26"/>
          <w:szCs w:val="26"/>
        </w:rPr>
        <w:t>Подписано к печати: 12.01.2015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AE2732" w:rsidRDefault="00AE2732"/>
    <w:sectPr w:rsidR="00AE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7947FF"/>
    <w:rsid w:val="00AE2732"/>
    <w:rsid w:val="00EC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semiHidden/>
    <w:unhideWhenUsed/>
    <w:rsid w:val="00EC1CE0"/>
    <w:rPr>
      <w:rFonts w:ascii="Tahoma" w:hAnsi="Tahoma" w:cs="Tahoma"/>
      <w:sz w:val="16"/>
      <w:szCs w:val="16"/>
    </w:rPr>
  </w:style>
  <w:style w:type="character" w:customStyle="1" w:styleId="a4">
    <w:name w:val="Текст выноски Знак"/>
    <w:basedOn w:val="a0"/>
    <w:link w:val="a3"/>
    <w:uiPriority w:val="99"/>
    <w:semiHidden/>
    <w:rsid w:val="00EC1C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semiHidden/>
    <w:unhideWhenUsed/>
    <w:rsid w:val="00EC1CE0"/>
    <w:rPr>
      <w:rFonts w:ascii="Tahoma" w:hAnsi="Tahoma" w:cs="Tahoma"/>
      <w:sz w:val="16"/>
      <w:szCs w:val="16"/>
    </w:rPr>
  </w:style>
  <w:style w:type="character" w:customStyle="1" w:styleId="a4">
    <w:name w:val="Текст выноски Знак"/>
    <w:basedOn w:val="a0"/>
    <w:link w:val="a3"/>
    <w:uiPriority w:val="99"/>
    <w:semiHidden/>
    <w:rsid w:val="00EC1C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2015-02-03T07:44:00Z</cp:lastPrinted>
  <dcterms:created xsi:type="dcterms:W3CDTF">2015-01-13T11:52:00Z</dcterms:created>
  <dcterms:modified xsi:type="dcterms:W3CDTF">2015-02-03T07:45:00Z</dcterms:modified>
</cp:coreProperties>
</file>