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966C2C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 xml:space="preserve">от </w:t>
      </w:r>
      <w:r w:rsidR="00251771">
        <w:rPr>
          <w:rFonts w:ascii="Arial" w:hAnsi="Arial" w:cs="Arial"/>
          <w:bCs/>
          <w:sz w:val="26"/>
          <w:szCs w:val="26"/>
        </w:rPr>
        <w:t>26.04.</w:t>
      </w:r>
      <w:r w:rsidR="00EC34F5">
        <w:rPr>
          <w:rFonts w:ascii="Arial" w:hAnsi="Arial" w:cs="Arial"/>
          <w:bCs/>
          <w:sz w:val="26"/>
          <w:szCs w:val="26"/>
        </w:rPr>
        <w:t>2016</w:t>
      </w:r>
      <w:r w:rsidR="00B608D9" w:rsidRPr="002B4FDC">
        <w:rPr>
          <w:rFonts w:ascii="Arial" w:hAnsi="Arial" w:cs="Arial"/>
          <w:bCs/>
          <w:sz w:val="26"/>
          <w:szCs w:val="26"/>
        </w:rPr>
        <w:t xml:space="preserve"> г</w:t>
      </w:r>
      <w:r w:rsidR="00E07E9F">
        <w:rPr>
          <w:rFonts w:ascii="Arial" w:hAnsi="Arial" w:cs="Arial"/>
          <w:bCs/>
          <w:sz w:val="26"/>
          <w:szCs w:val="26"/>
        </w:rPr>
        <w:tab/>
        <w:t xml:space="preserve">№ </w:t>
      </w:r>
      <w:r w:rsidR="00251771">
        <w:rPr>
          <w:rFonts w:ascii="Arial" w:hAnsi="Arial" w:cs="Arial"/>
          <w:bCs/>
          <w:sz w:val="26"/>
          <w:szCs w:val="26"/>
        </w:rPr>
        <w:t>45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E07E9F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EC34F5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07E9F">
        <w:rPr>
          <w:rFonts w:ascii="Arial" w:hAnsi="Arial" w:cs="Arial"/>
          <w:b/>
          <w:bCs/>
          <w:sz w:val="26"/>
          <w:szCs w:val="26"/>
        </w:rPr>
        <w:t>,</w:t>
      </w:r>
    </w:p>
    <w:p w:rsidR="00203A5B" w:rsidRPr="002B4FDC" w:rsidRDefault="00E07E9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№4 от 25.01.2016г.</w:t>
      </w:r>
      <w:r w:rsidR="00EC34F5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Pr="001E2621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>пальной программы 9722,3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словами «Объем средств бюджета поселения, необходимый для 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>11545,3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2016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 xml:space="preserve"> цифры «1945,6» заменить цифрами «3768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>,6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6B54C9" w:rsidRPr="006B5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B54C9" w:rsidRPr="001E2621">
        <w:rPr>
          <w:rFonts w:ascii="Arial" w:eastAsia="Calibri" w:hAnsi="Arial" w:cs="Arial"/>
          <w:sz w:val="26"/>
          <w:szCs w:val="26"/>
          <w:lang w:eastAsia="ar-SA"/>
        </w:rPr>
        <w:t>в том числе средства областного бюджета – 1763,0 тыс. рублей.</w:t>
      </w:r>
    </w:p>
    <w:p w:rsidR="006B54C9" w:rsidRPr="001E2621" w:rsidRDefault="00B66F4F" w:rsidP="006B54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 1 «Благоустройство мест массового отдыха населения Подгоренского сельского поселения Калачеевского муниципального района Воронежской области на 2014-2020 годы» в строке «Объемы и источники финансирования подпрограммы» слова «Объем бюджетных ассигнований на реализац</w:t>
      </w:r>
      <w:r w:rsidR="006B54C9">
        <w:rPr>
          <w:rFonts w:ascii="Arial" w:eastAsia="Calibri" w:hAnsi="Arial" w:cs="Arial"/>
          <w:sz w:val="26"/>
          <w:szCs w:val="26"/>
          <w:lang w:eastAsia="ar-SA"/>
        </w:rPr>
        <w:t>ию подпрограммы составляет 324,3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бюджетных ассигнований на реализацию подпрограммы составляет </w:t>
      </w:r>
      <w:r w:rsidR="006B54C9">
        <w:rPr>
          <w:rFonts w:ascii="Arial" w:eastAsia="Calibri" w:hAnsi="Arial" w:cs="Arial"/>
          <w:sz w:val="26"/>
          <w:szCs w:val="26"/>
          <w:lang w:eastAsia="ar-SA"/>
        </w:rPr>
        <w:t>2087,3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тыс. рублей»,</w:t>
      </w:r>
      <w:r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год реализации 2016</w:t>
      </w:r>
      <w:r w:rsidR="006B54C9">
        <w:rPr>
          <w:rFonts w:ascii="Arial" w:eastAsia="Calibri" w:hAnsi="Arial" w:cs="Arial"/>
          <w:sz w:val="26"/>
          <w:szCs w:val="26"/>
          <w:lang w:eastAsia="ar-SA"/>
        </w:rPr>
        <w:t xml:space="preserve"> цифры «110,0» заменить цифрами «1873,0</w:t>
      </w:r>
      <w:r>
        <w:rPr>
          <w:rFonts w:ascii="Arial" w:eastAsia="Calibri" w:hAnsi="Arial" w:cs="Arial"/>
          <w:sz w:val="26"/>
          <w:szCs w:val="26"/>
          <w:lang w:eastAsia="ar-SA"/>
        </w:rPr>
        <w:t>»</w:t>
      </w:r>
      <w:r w:rsidR="006B54C9">
        <w:rPr>
          <w:rFonts w:ascii="Arial" w:eastAsia="Calibri" w:hAnsi="Arial" w:cs="Arial"/>
          <w:sz w:val="26"/>
          <w:szCs w:val="26"/>
          <w:lang w:eastAsia="ar-SA"/>
        </w:rPr>
        <w:t>,</w:t>
      </w:r>
      <w:r w:rsidR="006B54C9" w:rsidRPr="006B5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B54C9" w:rsidRPr="001E2621">
        <w:rPr>
          <w:rFonts w:ascii="Arial" w:eastAsia="Calibri" w:hAnsi="Arial" w:cs="Arial"/>
          <w:sz w:val="26"/>
          <w:szCs w:val="26"/>
          <w:lang w:eastAsia="ar-SA"/>
        </w:rPr>
        <w:t>в</w:t>
      </w:r>
      <w:proofErr w:type="gramEnd"/>
      <w:r w:rsidR="006B54C9" w:rsidRPr="001E2621">
        <w:rPr>
          <w:rFonts w:ascii="Arial" w:eastAsia="Calibri" w:hAnsi="Arial" w:cs="Arial"/>
          <w:sz w:val="26"/>
          <w:szCs w:val="26"/>
          <w:lang w:eastAsia="ar-SA"/>
        </w:rPr>
        <w:t xml:space="preserve"> том числе средства областного бюджета – 1763,0 тыс. рублей.</w:t>
      </w:r>
    </w:p>
    <w:p w:rsidR="00E96679" w:rsidRPr="002B4FDC" w:rsidRDefault="00B66F4F" w:rsidP="001E2621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>
        <w:rPr>
          <w:rFonts w:ascii="Arial" w:eastAsia="Calibri" w:hAnsi="Arial" w:cs="Arial"/>
          <w:sz w:val="26"/>
          <w:szCs w:val="26"/>
          <w:lang w:eastAsia="ar-SA"/>
        </w:rPr>
        <w:t>1.3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>
        <w:rPr>
          <w:rFonts w:ascii="Arial" w:eastAsia="Calibri" w:hAnsi="Arial" w:cs="Arial"/>
          <w:sz w:val="26"/>
          <w:szCs w:val="26"/>
          <w:lang w:eastAsia="ar-SA"/>
        </w:rPr>
        <w:t>ляет 3806,3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>
        <w:rPr>
          <w:rFonts w:ascii="Arial" w:eastAsia="Calibri" w:hAnsi="Arial" w:cs="Arial"/>
          <w:sz w:val="26"/>
          <w:szCs w:val="26"/>
          <w:lang w:eastAsia="ar-SA"/>
        </w:rPr>
        <w:t>386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>6,3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год реализации 2016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>
        <w:rPr>
          <w:rFonts w:ascii="Arial" w:eastAsia="Calibri" w:hAnsi="Arial" w:cs="Arial"/>
          <w:sz w:val="26"/>
          <w:szCs w:val="26"/>
          <w:lang w:eastAsia="ar-SA"/>
        </w:rPr>
        <w:t>ры «749,3</w:t>
      </w:r>
      <w:proofErr w:type="gramEnd"/>
      <w:r w:rsidR="00E77568">
        <w:rPr>
          <w:rFonts w:ascii="Arial" w:eastAsia="Calibri" w:hAnsi="Arial" w:cs="Arial"/>
          <w:sz w:val="26"/>
          <w:szCs w:val="26"/>
          <w:lang w:eastAsia="ar-SA"/>
        </w:rPr>
        <w:t>» заменить ц</w:t>
      </w:r>
      <w:r>
        <w:rPr>
          <w:rFonts w:ascii="Arial" w:eastAsia="Calibri" w:hAnsi="Arial" w:cs="Arial"/>
          <w:sz w:val="26"/>
          <w:szCs w:val="26"/>
          <w:lang w:eastAsia="ar-SA"/>
        </w:rPr>
        <w:t>ифрами «80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>9,3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B66F4F">
        <w:rPr>
          <w:rFonts w:ascii="Arial" w:eastAsia="Calibri" w:hAnsi="Arial" w:cs="Arial"/>
          <w:sz w:val="26"/>
          <w:szCs w:val="26"/>
          <w:lang w:eastAsia="ar-SA"/>
        </w:rPr>
        <w:t>4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6D77E1" w:rsidRPr="002B4FDC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2B4FDC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1E2621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DA00FD" w:rsidRDefault="006D77E1" w:rsidP="001E2621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1E2621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1E2621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2621" w:rsidRPr="00DB6F4A" w:rsidRDefault="001E2621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E2621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1E262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</w:t>
      </w:r>
      <w:r w:rsidR="001E2621">
        <w:rPr>
          <w:rFonts w:ascii="Arial" w:eastAsia="Times New Roman" w:hAnsi="Arial" w:cs="Arial"/>
          <w:kern w:val="2"/>
          <w:sz w:val="20"/>
          <w:szCs w:val="20"/>
          <w:lang w:eastAsia="ru-RU"/>
        </w:rPr>
        <w:t>дгоренского сельского поселения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</w:t>
      </w:r>
      <w:r w:rsidR="001E2621">
        <w:rPr>
          <w:rFonts w:ascii="Arial" w:eastAsia="Times New Roman" w:hAnsi="Arial" w:cs="Arial"/>
          <w:kern w:val="2"/>
          <w:sz w:val="20"/>
          <w:szCs w:val="20"/>
          <w:lang w:eastAsia="ru-RU"/>
        </w:rPr>
        <w:t>чеевского муниципального района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26.04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.2016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45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DA00FD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тыс. руб.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20592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A2181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3768,6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A2181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1873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A2181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1873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60CE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EC34F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1E2621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A2181C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809</w:t>
            </w:r>
            <w:r w:rsidR="00EC3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20592C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20592C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0B73A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</w:t>
            </w:r>
            <w:r w:rsidR="0020592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A2181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77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20592C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20592C" w:rsidRPr="00DA00FD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20592C" w:rsidRPr="00DA00FD" w:rsidTr="0020592C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20592C" w:rsidRPr="00DA00FD" w:rsidTr="0020592C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20592C" w:rsidRPr="00DA00FD" w:rsidTr="0020592C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20592C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A2181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1E2621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</w:t>
      </w:r>
      <w:r w:rsidR="001E2621">
        <w:rPr>
          <w:rFonts w:ascii="Arial" w:eastAsia="Times New Roman" w:hAnsi="Arial" w:cs="Arial"/>
          <w:kern w:val="2"/>
          <w:sz w:val="20"/>
          <w:szCs w:val="20"/>
          <w:lang w:eastAsia="ru-RU"/>
        </w:rPr>
        <w:t>чеевского муниципального района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1E2621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26.04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2016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45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</w:t>
      </w:r>
      <w:proofErr w:type="gramStart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)о</w:t>
      </w:r>
      <w:proofErr w:type="gramEnd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3768,6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A2181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2005,6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1873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1873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Благоустройство мест массового отдыха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1E26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1E26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60CE2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C34F5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</w:t>
            </w:r>
            <w:r w:rsidR="00EC3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E262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E262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1E26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80</w:t>
            </w:r>
            <w:r w:rsidR="00EC34F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901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77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1E262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1E262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388,0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E262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990182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1E2621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77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D687C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1E262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D687C" w:rsidP="001E262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DA00FD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DA00FD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E2621" w:rsidRDefault="001E2621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1E2621" w:rsidRDefault="001E2621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1E2621" w:rsidRDefault="001E2621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1E2621" w:rsidRDefault="001E2621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1E2621" w:rsidRDefault="001E2621" w:rsidP="00990182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1E2621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</w:t>
      </w:r>
      <w:r w:rsidR="001E2621">
        <w:rPr>
          <w:rFonts w:ascii="Arial" w:eastAsia="Times New Roman" w:hAnsi="Arial" w:cs="Arial"/>
          <w:kern w:val="2"/>
          <w:sz w:val="20"/>
          <w:szCs w:val="20"/>
          <w:lang w:eastAsia="ru-RU"/>
        </w:rPr>
        <w:t>и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</w:t>
      </w:r>
      <w:r w:rsidR="001E2621">
        <w:rPr>
          <w:rFonts w:ascii="Arial" w:eastAsia="Times New Roman" w:hAnsi="Arial" w:cs="Arial"/>
          <w:kern w:val="2"/>
          <w:sz w:val="20"/>
          <w:szCs w:val="20"/>
          <w:lang w:eastAsia="ru-RU"/>
        </w:rPr>
        <w:t>дгоренского сельского поселения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A64872" w:rsidRPr="00DA00FD" w:rsidRDefault="00EA5AF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26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.0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4.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201</w:t>
      </w:r>
      <w:r w:rsidR="0018737E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45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</w:t>
      </w:r>
      <w:r w:rsidR="00990182">
        <w:rPr>
          <w:rFonts w:ascii="Arial" w:eastAsia="Calibri" w:hAnsi="Arial" w:cs="Arial"/>
          <w:bCs/>
          <w:sz w:val="20"/>
          <w:szCs w:val="20"/>
          <w:lang w:eastAsia="ar-SA"/>
        </w:rPr>
        <w:t>айона на 2014-2020 годы» на 2016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 xml:space="preserve">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DA00FD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00 0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D687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3768,6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DD687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1873,0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914 0505 01 1 01 98520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DD687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16,4</w:t>
            </w:r>
          </w:p>
        </w:tc>
      </w:tr>
      <w:tr w:rsidR="00DD687C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Default="00DD687C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914 0505 01 1 01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7C" w:rsidRDefault="00DD687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DD687C" w:rsidRPr="00DD687C" w:rsidRDefault="00DD687C" w:rsidP="001E262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93,6</w:t>
            </w:r>
          </w:p>
        </w:tc>
      </w:tr>
      <w:tr w:rsidR="00DD687C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DD687C" w:rsidRPr="00DA00FD" w:rsidRDefault="00DD687C" w:rsidP="00DD687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Pr="00DA00FD" w:rsidRDefault="00DD687C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7C" w:rsidRDefault="00DD687C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914 0505 01 1 01 78520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7C" w:rsidRDefault="00DD687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914 01 2 00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18737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1086,3</w:t>
            </w:r>
          </w:p>
        </w:tc>
      </w:tr>
      <w:tr w:rsidR="00EA5AF7" w:rsidRPr="00DA00FD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02 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EA5AF7" w:rsidRPr="00DA00FD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914 04 09 01 2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02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18737E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1066,3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DD687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</w:t>
            </w:r>
            <w:r w:rsidR="0018737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DD687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77</w:t>
            </w:r>
            <w:r w:rsidR="0018737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7,3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по сохранению и ремонт военно-мемориальных объектов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043FF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914 05 05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01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3 01 98530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54,6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Доля протяженности освещенных частей улиц, проездов к их общей протяженности на конец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188,5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  <w:r w:rsidR="001E262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  <w:r w:rsidR="001E262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DD687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</w:t>
            </w:r>
            <w:r w:rsidR="0018737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6,2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  <w:r w:rsidR="001E262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914 05 01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02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98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04" w:rsidRDefault="00A53904" w:rsidP="00DE0019">
      <w:pPr>
        <w:spacing w:after="0" w:line="240" w:lineRule="auto"/>
      </w:pPr>
      <w:r>
        <w:separator/>
      </w:r>
    </w:p>
  </w:endnote>
  <w:endnote w:type="continuationSeparator" w:id="0">
    <w:p w:rsidR="00A53904" w:rsidRDefault="00A53904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1C" w:rsidRDefault="00A2181C">
    <w:pPr>
      <w:pStyle w:val="aa"/>
      <w:jc w:val="right"/>
    </w:pPr>
  </w:p>
  <w:p w:rsidR="00A2181C" w:rsidRDefault="00A218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04" w:rsidRDefault="00A53904" w:rsidP="00DE0019">
      <w:pPr>
        <w:spacing w:after="0" w:line="240" w:lineRule="auto"/>
      </w:pPr>
      <w:r>
        <w:separator/>
      </w:r>
    </w:p>
  </w:footnote>
  <w:footnote w:type="continuationSeparator" w:id="0">
    <w:p w:rsidR="00A53904" w:rsidRDefault="00A53904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2621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771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7A51"/>
    <w:rsid w:val="00497D99"/>
    <w:rsid w:val="004A04B6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46B5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4C9"/>
    <w:rsid w:val="006B5FAE"/>
    <w:rsid w:val="006B63C2"/>
    <w:rsid w:val="006C00A1"/>
    <w:rsid w:val="006C0F0C"/>
    <w:rsid w:val="006C131B"/>
    <w:rsid w:val="006C1E6F"/>
    <w:rsid w:val="006C32F5"/>
    <w:rsid w:val="006C5775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800043"/>
    <w:rsid w:val="008005CB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81C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904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6F4F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A3D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D687C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07E9F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2313-0347-4CF1-B6A1-1622B176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63</cp:revision>
  <cp:lastPrinted>2016-04-20T11:47:00Z</cp:lastPrinted>
  <dcterms:created xsi:type="dcterms:W3CDTF">2014-10-13T12:21:00Z</dcterms:created>
  <dcterms:modified xsi:type="dcterms:W3CDTF">2016-04-20T13:40:00Z</dcterms:modified>
</cp:coreProperties>
</file>