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1A1955">
        <w:rPr>
          <w:rFonts w:cs="Arial"/>
          <w:bCs/>
        </w:rPr>
        <w:t>о</w:t>
      </w:r>
      <w:r w:rsidR="001E4706" w:rsidRPr="001A1955">
        <w:rPr>
          <w:rFonts w:cs="Arial"/>
          <w:bCs/>
        </w:rPr>
        <w:t>т</w:t>
      </w:r>
      <w:r w:rsidRPr="001A1955">
        <w:rPr>
          <w:rFonts w:cs="Arial"/>
          <w:bCs/>
        </w:rPr>
        <w:t xml:space="preserve"> </w:t>
      </w:r>
      <w:r w:rsidR="00404D11">
        <w:rPr>
          <w:rFonts w:cs="Arial"/>
          <w:bCs/>
        </w:rPr>
        <w:t>12</w:t>
      </w:r>
      <w:r w:rsidR="001E4706" w:rsidRPr="001A1955">
        <w:rPr>
          <w:rFonts w:cs="Arial"/>
          <w:bCs/>
        </w:rPr>
        <w:t>.</w:t>
      </w:r>
      <w:r w:rsidR="00E11041">
        <w:rPr>
          <w:rFonts w:cs="Arial"/>
          <w:bCs/>
        </w:rPr>
        <w:t>0</w:t>
      </w:r>
      <w:r w:rsidR="00404D11">
        <w:rPr>
          <w:rFonts w:cs="Arial"/>
          <w:bCs/>
        </w:rPr>
        <w:t>3</w:t>
      </w:r>
      <w:r w:rsidR="001E4706" w:rsidRPr="001A1955">
        <w:rPr>
          <w:rFonts w:cs="Arial"/>
          <w:bCs/>
        </w:rPr>
        <w:t>.20</w:t>
      </w:r>
      <w:r w:rsidR="00415F14" w:rsidRPr="001A1955">
        <w:rPr>
          <w:rFonts w:cs="Arial"/>
          <w:bCs/>
        </w:rPr>
        <w:t>2</w:t>
      </w:r>
      <w:r w:rsidR="00E11041">
        <w:rPr>
          <w:rFonts w:cs="Arial"/>
          <w:bCs/>
        </w:rPr>
        <w:t>1</w:t>
      </w:r>
      <w:r w:rsidR="001E4706" w:rsidRPr="001A1955">
        <w:rPr>
          <w:rFonts w:cs="Arial"/>
          <w:bCs/>
        </w:rPr>
        <w:t xml:space="preserve"> г. № </w:t>
      </w:r>
      <w:r w:rsidR="00404D11">
        <w:rPr>
          <w:rFonts w:cs="Arial"/>
          <w:bCs/>
        </w:rPr>
        <w:t>1</w:t>
      </w:r>
      <w:r w:rsidR="006E345A">
        <w:rPr>
          <w:rFonts w:cs="Arial"/>
          <w:bCs/>
        </w:rPr>
        <w:t>7</w:t>
      </w:r>
    </w:p>
    <w:p w:rsidR="001E4706" w:rsidRPr="00B91E42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29.12.2020г.</w:t>
      </w:r>
      <w:r w:rsidR="00A05C74">
        <w:rPr>
          <w:rFonts w:cs="Arial"/>
          <w:b/>
          <w:bCs/>
        </w:rPr>
        <w:t>, №5 от 29.01.2021 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6D0D6D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27) </w:t>
      </w:r>
      <w:r w:rsidRPr="005E2F8C">
        <w:rPr>
          <w:rFonts w:cs="Arial"/>
          <w:bCs/>
        </w:rPr>
        <w:t xml:space="preserve">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881548">
        <w:rPr>
          <w:rFonts w:cs="Arial"/>
          <w:lang w:eastAsia="ar-SA"/>
        </w:rPr>
        <w:t>18039,3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881548">
        <w:rPr>
          <w:rFonts w:cs="Arial"/>
          <w:lang w:eastAsia="ar-SA"/>
        </w:rPr>
        <w:t>18820,3</w:t>
      </w:r>
      <w:proofErr w:type="gramEnd"/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Pr="0040280B">
        <w:rPr>
          <w:rFonts w:cs="Arial"/>
          <w:lang w:eastAsia="ar-SA"/>
        </w:rPr>
        <w:t xml:space="preserve"> цифры «</w:t>
      </w:r>
      <w:r w:rsidR="005D0115">
        <w:rPr>
          <w:rFonts w:cs="Arial"/>
          <w:lang w:eastAsia="ar-SA"/>
        </w:rPr>
        <w:t>2649,9</w:t>
      </w:r>
      <w:r w:rsidRPr="0040280B">
        <w:rPr>
          <w:rFonts w:cs="Arial"/>
          <w:lang w:eastAsia="ar-SA"/>
        </w:rPr>
        <w:t>» заменить цифрами «</w:t>
      </w:r>
      <w:r w:rsidR="005D0115">
        <w:rPr>
          <w:rFonts w:cs="Arial"/>
          <w:lang w:eastAsia="ar-SA"/>
        </w:rPr>
        <w:t>3430,9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="00367080" w:rsidRPr="0040280B">
        <w:rPr>
          <w:rFonts w:cs="Arial"/>
          <w:lang w:eastAsia="ar-SA"/>
        </w:rPr>
        <w:t>цифры</w:t>
      </w:r>
      <w:r w:rsidR="00367080">
        <w:rPr>
          <w:rFonts w:cs="Arial"/>
          <w:lang w:eastAsia="ar-SA"/>
        </w:rPr>
        <w:t xml:space="preserve"> «2559,3» </w:t>
      </w:r>
      <w:proofErr w:type="gramStart"/>
      <w:r w:rsidR="00367080">
        <w:rPr>
          <w:rFonts w:cs="Arial"/>
          <w:lang w:eastAsia="ar-SA"/>
        </w:rPr>
        <w:t>заменить на цифры</w:t>
      </w:r>
      <w:proofErr w:type="gramEnd"/>
      <w:r w:rsidR="00367080">
        <w:rPr>
          <w:rFonts w:cs="Arial"/>
          <w:lang w:eastAsia="ar-SA"/>
        </w:rPr>
        <w:t xml:space="preserve"> «3340,3</w:t>
      </w:r>
      <w:r w:rsidR="00367080" w:rsidRPr="0040280B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5D0115">
        <w:rPr>
          <w:rFonts w:cs="Arial"/>
          <w:lang w:eastAsia="ar-SA"/>
        </w:rPr>
        <w:t>2649,9</w:t>
      </w:r>
      <w:r w:rsidR="009D37BB">
        <w:rPr>
          <w:rFonts w:cs="Arial"/>
          <w:lang w:eastAsia="ar-SA"/>
        </w:rPr>
        <w:t>» заменить на цифры «</w:t>
      </w:r>
      <w:r w:rsidR="005D0115">
        <w:rPr>
          <w:rFonts w:cs="Arial"/>
          <w:lang w:eastAsia="ar-SA"/>
        </w:rPr>
        <w:t>3430,9</w:t>
      </w:r>
      <w:r w:rsidR="00285496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>:</w:t>
      </w:r>
      <w:r w:rsidR="00E732E9">
        <w:rPr>
          <w:rFonts w:cs="Arial"/>
          <w:lang w:eastAsia="ar-SA"/>
        </w:rPr>
        <w:t xml:space="preserve"> 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5D0115">
        <w:rPr>
          <w:rFonts w:cs="Arial"/>
          <w:lang w:eastAsia="ar-SA"/>
        </w:rPr>
        <w:t>18039,3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0C72F1">
        <w:rPr>
          <w:rFonts w:cs="Arial"/>
          <w:lang w:eastAsia="ar-SA"/>
        </w:rPr>
        <w:t>18820,3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</w:t>
      </w:r>
      <w:r w:rsidR="000C72F1">
        <w:rPr>
          <w:rFonts w:cs="Arial"/>
          <w:lang w:eastAsia="ar-SA"/>
        </w:rPr>
        <w:t>1</w:t>
      </w:r>
      <w:proofErr w:type="gramEnd"/>
      <w:r w:rsidR="00147987" w:rsidRPr="0040280B">
        <w:rPr>
          <w:rFonts w:cs="Arial"/>
          <w:lang w:eastAsia="ar-SA"/>
        </w:rPr>
        <w:t xml:space="preserve"> цифры «</w:t>
      </w:r>
      <w:r w:rsidR="000C72F1">
        <w:rPr>
          <w:rFonts w:cs="Arial"/>
          <w:lang w:eastAsia="ar-SA"/>
        </w:rPr>
        <w:t>2649,9</w:t>
      </w:r>
      <w:r w:rsidR="00147987" w:rsidRPr="0040280B">
        <w:rPr>
          <w:rFonts w:cs="Arial"/>
          <w:lang w:eastAsia="ar-SA"/>
        </w:rPr>
        <w:t>» заменить цифрами «</w:t>
      </w:r>
      <w:r w:rsidR="000C72F1">
        <w:rPr>
          <w:rFonts w:cs="Arial"/>
          <w:lang w:eastAsia="ar-SA"/>
        </w:rPr>
        <w:t>3430,9</w:t>
      </w:r>
      <w:r w:rsidR="001F1375">
        <w:rPr>
          <w:rFonts w:cs="Arial"/>
          <w:lang w:eastAsia="ar-SA"/>
        </w:rPr>
        <w:t>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lastRenderedPageBreak/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039" w:type="dxa"/>
        <w:jc w:val="right"/>
        <w:tblInd w:w="-3427" w:type="dxa"/>
        <w:tblLook w:val="01E0" w:firstRow="1" w:lastRow="1" w:firstColumn="1" w:lastColumn="1" w:noHBand="0" w:noVBand="0"/>
      </w:tblPr>
      <w:tblGrid>
        <w:gridCol w:w="5039"/>
      </w:tblGrid>
      <w:tr w:rsidR="002B5962" w:rsidRPr="005E2F8C" w:rsidTr="00DE4A12">
        <w:trPr>
          <w:jc w:val="right"/>
        </w:trPr>
        <w:tc>
          <w:tcPr>
            <w:tcW w:w="5039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404D11">
              <w:rPr>
                <w:rFonts w:cs="Arial"/>
                <w:kern w:val="2"/>
              </w:rPr>
              <w:t>12</w:t>
            </w:r>
            <w:r w:rsidR="001A1955">
              <w:rPr>
                <w:rFonts w:cs="Arial"/>
                <w:kern w:val="2"/>
              </w:rPr>
              <w:t>.</w:t>
            </w:r>
            <w:r w:rsidR="00E11041">
              <w:rPr>
                <w:rFonts w:cs="Arial"/>
                <w:kern w:val="2"/>
              </w:rPr>
              <w:t>0</w:t>
            </w:r>
            <w:r w:rsidR="00404D11">
              <w:rPr>
                <w:rFonts w:cs="Arial"/>
                <w:kern w:val="2"/>
              </w:rPr>
              <w:t>3</w:t>
            </w:r>
            <w:r w:rsidR="00F04E7B">
              <w:rPr>
                <w:rFonts w:cs="Arial"/>
                <w:kern w:val="2"/>
              </w:rPr>
              <w:t>.20</w:t>
            </w:r>
            <w:r w:rsidR="002C1396">
              <w:rPr>
                <w:rFonts w:cs="Arial"/>
                <w:kern w:val="2"/>
              </w:rPr>
              <w:t>2</w:t>
            </w:r>
            <w:r w:rsidR="00E11041">
              <w:rPr>
                <w:rFonts w:cs="Arial"/>
                <w:kern w:val="2"/>
              </w:rPr>
              <w:t>1</w:t>
            </w:r>
            <w:r w:rsidR="009F0BDC">
              <w:rPr>
                <w:rFonts w:cs="Arial"/>
                <w:kern w:val="2"/>
              </w:rPr>
              <w:t xml:space="preserve">г. № </w:t>
            </w:r>
            <w:r w:rsidR="006E345A">
              <w:rPr>
                <w:rFonts w:cs="Arial"/>
                <w:kern w:val="2"/>
              </w:rPr>
              <w:t>17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B5962"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B408D" w:rsidRDefault="00FB408D" w:rsidP="00662AD9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FB408D" w:rsidRDefault="00FB408D" w:rsidP="00662AD9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FB408D" w:rsidRDefault="00FB408D" w:rsidP="00662AD9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662AD9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3157,6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3157,6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FB408D" w:rsidRDefault="00FB408D" w:rsidP="00662AD9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  <w:tc>
          <w:tcPr>
            <w:tcW w:w="992" w:type="dxa"/>
          </w:tcPr>
          <w:p w:rsidR="002B5962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2B5962" w:rsidRDefault="00FB408D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  <w:tc>
          <w:tcPr>
            <w:tcW w:w="992" w:type="dxa"/>
          </w:tcPr>
          <w:p w:rsidR="00FB408D" w:rsidRDefault="00FB408D" w:rsidP="00662A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FB408D" w:rsidRDefault="00FB408D" w:rsidP="00662AD9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</w:t>
      </w:r>
      <w:r w:rsidR="00E6211F">
        <w:rPr>
          <w:rFonts w:cs="Arial"/>
          <w:kern w:val="2"/>
        </w:rPr>
        <w:t xml:space="preserve"> </w:t>
      </w:r>
      <w:r w:rsidR="00FB408D">
        <w:rPr>
          <w:rFonts w:cs="Arial"/>
          <w:kern w:val="2"/>
        </w:rPr>
        <w:t>12</w:t>
      </w:r>
      <w:r w:rsidR="00340AD3">
        <w:rPr>
          <w:rFonts w:cs="Arial"/>
          <w:kern w:val="2"/>
        </w:rPr>
        <w:t>.</w:t>
      </w:r>
      <w:r w:rsidR="00E11041">
        <w:rPr>
          <w:rFonts w:cs="Arial"/>
          <w:kern w:val="2"/>
        </w:rPr>
        <w:t>0</w:t>
      </w:r>
      <w:r w:rsidR="00FB408D">
        <w:rPr>
          <w:rFonts w:cs="Arial"/>
          <w:kern w:val="2"/>
        </w:rPr>
        <w:t>3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</w:t>
      </w:r>
      <w:r w:rsidR="00E11041">
        <w:rPr>
          <w:rFonts w:cs="Arial"/>
          <w:kern w:val="2"/>
        </w:rPr>
        <w:t>1</w:t>
      </w:r>
      <w:r>
        <w:rPr>
          <w:rFonts w:cs="Arial"/>
          <w:kern w:val="2"/>
        </w:rPr>
        <w:t>г. №</w:t>
      </w:r>
      <w:r w:rsidR="001A1955">
        <w:rPr>
          <w:rFonts w:cs="Arial"/>
          <w:kern w:val="2"/>
        </w:rPr>
        <w:t xml:space="preserve"> </w:t>
      </w:r>
      <w:r w:rsidR="006E345A">
        <w:rPr>
          <w:rFonts w:cs="Arial"/>
          <w:kern w:val="2"/>
        </w:rPr>
        <w:t>17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3340,3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  <w:bookmarkStart w:id="3" w:name="_GoBack"/>
            <w:bookmarkEnd w:id="3"/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3340,3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881548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3157,6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3157,6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  <w:tc>
          <w:tcPr>
            <w:tcW w:w="1115" w:type="dxa"/>
          </w:tcPr>
          <w:p w:rsidR="002B5962" w:rsidRDefault="00881548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182,7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881548">
        <w:rPr>
          <w:rFonts w:cs="Arial"/>
          <w:kern w:val="2"/>
        </w:rPr>
        <w:t>12</w:t>
      </w:r>
      <w:r>
        <w:rPr>
          <w:rFonts w:cs="Arial"/>
          <w:kern w:val="2"/>
        </w:rPr>
        <w:t>.</w:t>
      </w:r>
      <w:r w:rsidR="00E11041">
        <w:rPr>
          <w:rFonts w:cs="Arial"/>
          <w:kern w:val="2"/>
        </w:rPr>
        <w:t>0</w:t>
      </w:r>
      <w:r w:rsidR="00881548">
        <w:rPr>
          <w:rFonts w:cs="Arial"/>
          <w:kern w:val="2"/>
        </w:rPr>
        <w:t>3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</w:t>
      </w:r>
      <w:r w:rsidR="00E11041">
        <w:rPr>
          <w:rFonts w:cs="Arial"/>
          <w:kern w:val="2"/>
        </w:rPr>
        <w:t>1</w:t>
      </w:r>
      <w:r w:rsidR="001A1955">
        <w:rPr>
          <w:rFonts w:cs="Arial"/>
          <w:kern w:val="2"/>
        </w:rPr>
        <w:t>г. №</w:t>
      </w:r>
      <w:r w:rsidR="00340AD3">
        <w:rPr>
          <w:rFonts w:cs="Arial"/>
          <w:kern w:val="2"/>
        </w:rPr>
        <w:t xml:space="preserve"> </w:t>
      </w:r>
      <w:r w:rsidR="006E345A">
        <w:rPr>
          <w:rFonts w:cs="Arial"/>
          <w:kern w:val="2"/>
        </w:rPr>
        <w:t>17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367080">
        <w:rPr>
          <w:rFonts w:cs="Arial"/>
        </w:rPr>
        <w:t>1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FB408D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FB408D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3430,9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404D11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3157,6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404D11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2390,3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758,3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404D11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FB408D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404D11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FB408D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153,0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E1" w:rsidRDefault="00A520E1" w:rsidP="00592E34">
      <w:r>
        <w:separator/>
      </w:r>
    </w:p>
  </w:endnote>
  <w:endnote w:type="continuationSeparator" w:id="0">
    <w:p w:rsidR="00A520E1" w:rsidRDefault="00A520E1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E1" w:rsidRDefault="00A520E1" w:rsidP="00592E34">
      <w:r>
        <w:separator/>
      </w:r>
    </w:p>
  </w:footnote>
  <w:footnote w:type="continuationSeparator" w:id="0">
    <w:p w:rsidR="00A520E1" w:rsidRDefault="00A520E1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1395</TotalTime>
  <Pages>13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72</cp:revision>
  <cp:lastPrinted>2020-12-25T11:35:00Z</cp:lastPrinted>
  <dcterms:created xsi:type="dcterms:W3CDTF">2018-10-05T08:01:00Z</dcterms:created>
  <dcterms:modified xsi:type="dcterms:W3CDTF">2021-03-15T08:18:00Z</dcterms:modified>
</cp:coreProperties>
</file>