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C9" w:rsidRPr="002D51C9" w:rsidRDefault="002D51C9" w:rsidP="002D51C9">
      <w:pPr>
        <w:pStyle w:val="a3"/>
        <w:jc w:val="center"/>
        <w:rPr>
          <w:rFonts w:ascii="Arial" w:eastAsia="Arial" w:hAnsi="Arial" w:cs="Arial"/>
          <w:b/>
          <w:sz w:val="24"/>
          <w:szCs w:val="24"/>
        </w:rPr>
      </w:pPr>
      <w:r w:rsidRPr="002D51C9">
        <w:rPr>
          <w:rFonts w:ascii="Arial" w:eastAsia="Arial" w:hAnsi="Arial" w:cs="Arial"/>
          <w:b/>
          <w:sz w:val="24"/>
          <w:szCs w:val="24"/>
        </w:rPr>
        <w:t>РОССИЙСКАЯ ФЕДЕРАЦИЯ</w:t>
      </w:r>
    </w:p>
    <w:p w:rsidR="002D51C9" w:rsidRPr="002D51C9" w:rsidRDefault="002D51C9" w:rsidP="002D51C9">
      <w:pPr>
        <w:pStyle w:val="a3"/>
        <w:jc w:val="center"/>
        <w:rPr>
          <w:rFonts w:ascii="Arial" w:eastAsia="Arial" w:hAnsi="Arial" w:cs="Arial"/>
          <w:b/>
          <w:sz w:val="24"/>
          <w:szCs w:val="24"/>
        </w:rPr>
      </w:pPr>
      <w:r w:rsidRPr="002D51C9">
        <w:rPr>
          <w:rFonts w:ascii="Arial" w:eastAsia="Arial" w:hAnsi="Arial" w:cs="Arial"/>
          <w:b/>
          <w:sz w:val="24"/>
          <w:szCs w:val="24"/>
        </w:rPr>
        <w:t>АДМИНИСТРАЦИЯ</w:t>
      </w:r>
    </w:p>
    <w:p w:rsidR="002D51C9" w:rsidRPr="002D51C9" w:rsidRDefault="002D51C9" w:rsidP="002D51C9">
      <w:pPr>
        <w:pStyle w:val="a3"/>
        <w:jc w:val="center"/>
        <w:rPr>
          <w:rFonts w:ascii="Arial" w:eastAsia="Arial" w:hAnsi="Arial" w:cs="Arial"/>
          <w:b/>
          <w:sz w:val="24"/>
          <w:szCs w:val="24"/>
        </w:rPr>
      </w:pPr>
      <w:r w:rsidRPr="002D51C9">
        <w:rPr>
          <w:rFonts w:ascii="Arial" w:eastAsia="Arial" w:hAnsi="Arial" w:cs="Arial"/>
          <w:b/>
          <w:sz w:val="24"/>
          <w:szCs w:val="24"/>
        </w:rPr>
        <w:t>ПОДГОРЕНСКОГО СЕЛЬСКОГО ПОСЕЛЕНИЯ</w:t>
      </w:r>
    </w:p>
    <w:p w:rsidR="002D51C9" w:rsidRPr="002D51C9" w:rsidRDefault="002D51C9" w:rsidP="002D51C9">
      <w:pPr>
        <w:pStyle w:val="a3"/>
        <w:jc w:val="center"/>
        <w:rPr>
          <w:rFonts w:ascii="Arial" w:eastAsia="Arial" w:hAnsi="Arial" w:cs="Arial"/>
          <w:b/>
          <w:sz w:val="24"/>
          <w:szCs w:val="24"/>
        </w:rPr>
      </w:pPr>
      <w:r w:rsidRPr="002D51C9">
        <w:rPr>
          <w:rFonts w:ascii="Arial" w:eastAsia="Arial" w:hAnsi="Arial" w:cs="Arial"/>
          <w:b/>
          <w:sz w:val="24"/>
          <w:szCs w:val="24"/>
        </w:rPr>
        <w:t>КАЛАЧЕЕВСКОГО МУНИЦИПАЛЬНОГО РАЙОНА</w:t>
      </w:r>
    </w:p>
    <w:p w:rsidR="002D51C9" w:rsidRPr="002D51C9" w:rsidRDefault="002D51C9" w:rsidP="002D51C9">
      <w:pPr>
        <w:pStyle w:val="a3"/>
        <w:jc w:val="center"/>
        <w:rPr>
          <w:rFonts w:ascii="Arial" w:eastAsia="Arial" w:hAnsi="Arial" w:cs="Arial"/>
          <w:b/>
          <w:sz w:val="24"/>
          <w:szCs w:val="24"/>
        </w:rPr>
      </w:pPr>
      <w:r w:rsidRPr="002D51C9">
        <w:rPr>
          <w:rFonts w:ascii="Arial" w:eastAsia="Arial" w:hAnsi="Arial" w:cs="Arial"/>
          <w:b/>
          <w:sz w:val="24"/>
          <w:szCs w:val="24"/>
        </w:rPr>
        <w:t>ВОРОНЕЖСКОЙ ОБЛАСТИ</w:t>
      </w:r>
    </w:p>
    <w:p w:rsidR="002D51C9" w:rsidRPr="002D51C9" w:rsidRDefault="002D51C9" w:rsidP="002D51C9">
      <w:pPr>
        <w:pStyle w:val="a3"/>
        <w:jc w:val="center"/>
        <w:rPr>
          <w:rFonts w:ascii="Arial" w:eastAsia="Arial" w:hAnsi="Arial" w:cs="Arial"/>
          <w:b/>
          <w:sz w:val="24"/>
          <w:szCs w:val="24"/>
        </w:rPr>
      </w:pPr>
      <w:r w:rsidRPr="002D51C9">
        <w:rPr>
          <w:rFonts w:ascii="Arial" w:eastAsia="Arial" w:hAnsi="Arial" w:cs="Arial"/>
          <w:b/>
          <w:sz w:val="24"/>
          <w:szCs w:val="24"/>
        </w:rPr>
        <w:t>ПОСТАНОВЛЕНИЕ</w:t>
      </w:r>
    </w:p>
    <w:p w:rsidR="002D51C9" w:rsidRPr="002D51C9" w:rsidRDefault="002D51C9" w:rsidP="002D51C9">
      <w:pPr>
        <w:pStyle w:val="a3"/>
        <w:jc w:val="both"/>
        <w:rPr>
          <w:rFonts w:ascii="Arial" w:eastAsia="Calibri" w:hAnsi="Arial" w:cs="Arial"/>
          <w:sz w:val="24"/>
          <w:szCs w:val="24"/>
        </w:rPr>
      </w:pPr>
      <w:r w:rsidRPr="002D51C9">
        <w:rPr>
          <w:rFonts w:ascii="Arial" w:eastAsia="Calibri" w:hAnsi="Arial" w:cs="Arial"/>
          <w:sz w:val="24"/>
          <w:szCs w:val="24"/>
        </w:rPr>
        <w:t>от 20 декабря 2022г. № 51</w:t>
      </w:r>
    </w:p>
    <w:p w:rsidR="002D51C9" w:rsidRPr="002D51C9" w:rsidRDefault="002D51C9" w:rsidP="002D51C9">
      <w:pPr>
        <w:pStyle w:val="a3"/>
        <w:rPr>
          <w:rFonts w:ascii="Arial" w:eastAsia="Calibri" w:hAnsi="Arial" w:cs="Arial"/>
          <w:sz w:val="24"/>
          <w:szCs w:val="24"/>
        </w:rPr>
      </w:pPr>
      <w:r w:rsidRPr="002D51C9">
        <w:rPr>
          <w:rFonts w:ascii="Arial" w:eastAsia="Calibri" w:hAnsi="Arial" w:cs="Arial"/>
          <w:sz w:val="24"/>
          <w:szCs w:val="24"/>
        </w:rPr>
        <w:t>с. Подгорное</w:t>
      </w:r>
    </w:p>
    <w:p w:rsidR="002D51C9" w:rsidRPr="002D51C9" w:rsidRDefault="002D51C9" w:rsidP="002D51C9">
      <w:pPr>
        <w:spacing w:after="0" w:line="240" w:lineRule="auto"/>
        <w:ind w:right="10"/>
        <w:rPr>
          <w:rFonts w:ascii="Arial" w:eastAsia="Times New Roman" w:hAnsi="Arial" w:cs="Arial"/>
          <w:b/>
          <w:sz w:val="24"/>
          <w:szCs w:val="24"/>
          <w:lang w:eastAsia="ru-RU"/>
        </w:rPr>
      </w:pPr>
    </w:p>
    <w:p w:rsidR="002D51C9" w:rsidRPr="002D51C9" w:rsidRDefault="002D51C9" w:rsidP="002D51C9">
      <w:pPr>
        <w:spacing w:after="0" w:line="240" w:lineRule="auto"/>
        <w:ind w:right="27"/>
        <w:jc w:val="center"/>
        <w:rPr>
          <w:rFonts w:ascii="Arial" w:hAnsi="Arial" w:cs="Arial"/>
          <w:b/>
          <w:color w:val="000000" w:themeColor="text1"/>
          <w:sz w:val="24"/>
          <w:szCs w:val="24"/>
        </w:rPr>
      </w:pPr>
      <w:r w:rsidRPr="002D51C9">
        <w:rPr>
          <w:rFonts w:ascii="Arial" w:eastAsia="Times New Roman" w:hAnsi="Arial" w:cs="Arial"/>
          <w:b/>
          <w:bCs/>
          <w:sz w:val="24"/>
          <w:szCs w:val="24"/>
          <w:lang w:eastAsia="ar-SA"/>
        </w:rPr>
        <w:t>О внесении изменений в постановление администрации Подгоренского сельского поселения от 26.02.2016 г. № 16 «Об утверждении административного регламента по предоставлению муниципальной услуги «</w:t>
      </w:r>
      <w:r w:rsidRPr="002D51C9">
        <w:rPr>
          <w:rFonts w:ascii="Arial" w:hAnsi="Arial" w:cs="Arial"/>
          <w:b/>
          <w:color w:val="000000" w:themeColor="text1"/>
          <w:sz w:val="24"/>
          <w:szCs w:val="24"/>
        </w:rPr>
        <w:t xml:space="preserve">Утверждение и выдача схем расположения земельных участков на кадастровом плане территории» </w:t>
      </w:r>
    </w:p>
    <w:p w:rsidR="002D51C9" w:rsidRPr="002D51C9" w:rsidRDefault="002D51C9" w:rsidP="002D51C9">
      <w:pPr>
        <w:spacing w:after="0" w:line="240" w:lineRule="auto"/>
        <w:ind w:right="27"/>
        <w:jc w:val="center"/>
        <w:rPr>
          <w:rFonts w:ascii="Arial" w:hAnsi="Arial" w:cs="Arial"/>
          <w:b/>
          <w:color w:val="000000" w:themeColor="text1"/>
          <w:sz w:val="24"/>
          <w:szCs w:val="24"/>
        </w:rPr>
      </w:pPr>
      <w:r w:rsidRPr="002D51C9">
        <w:rPr>
          <w:rFonts w:ascii="Arial" w:hAnsi="Arial" w:cs="Arial"/>
          <w:b/>
          <w:color w:val="000000" w:themeColor="text1"/>
          <w:sz w:val="24"/>
          <w:szCs w:val="24"/>
        </w:rPr>
        <w:t>(в редакции от 29.03.2019 г. № 34, 30.03.2020г. №17, от 29.11.2021 г. №50)</w:t>
      </w:r>
    </w:p>
    <w:p w:rsidR="002D51C9" w:rsidRPr="002D51C9" w:rsidRDefault="002D51C9" w:rsidP="002D51C9">
      <w:pPr>
        <w:tabs>
          <w:tab w:val="left" w:pos="567"/>
        </w:tabs>
        <w:suppressAutoHyphens/>
        <w:spacing w:after="100" w:afterAutospacing="1" w:line="60" w:lineRule="atLeast"/>
        <w:ind w:firstLine="709"/>
        <w:contextualSpacing/>
        <w:jc w:val="both"/>
        <w:rPr>
          <w:rFonts w:ascii="Arial" w:eastAsia="Times New Roman" w:hAnsi="Arial" w:cs="Arial"/>
          <w:sz w:val="24"/>
          <w:szCs w:val="24"/>
          <w:lang w:eastAsia="ar-SA"/>
        </w:rPr>
      </w:pPr>
    </w:p>
    <w:p w:rsidR="002D51C9" w:rsidRPr="002D51C9" w:rsidRDefault="002D51C9" w:rsidP="002D51C9">
      <w:pPr>
        <w:tabs>
          <w:tab w:val="left" w:pos="567"/>
        </w:tabs>
        <w:suppressAutoHyphens/>
        <w:spacing w:after="100" w:afterAutospacing="1" w:line="60" w:lineRule="atLeast"/>
        <w:ind w:firstLine="709"/>
        <w:contextualSpacing/>
        <w:jc w:val="both"/>
        <w:rPr>
          <w:rFonts w:ascii="Arial" w:eastAsia="Times New Roman" w:hAnsi="Arial" w:cs="Arial"/>
          <w:b/>
          <w:sz w:val="24"/>
          <w:szCs w:val="24"/>
          <w:lang w:eastAsia="ar-SA"/>
        </w:rPr>
      </w:pPr>
      <w:r w:rsidRPr="002D51C9">
        <w:rPr>
          <w:rFonts w:ascii="Arial" w:eastAsia="Times New Roman" w:hAnsi="Arial" w:cs="Arial"/>
          <w:sz w:val="24"/>
          <w:szCs w:val="24"/>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2D51C9">
        <w:rPr>
          <w:rFonts w:ascii="Arial" w:eastAsia="Times New Roman" w:hAnsi="Arial" w:cs="Arial"/>
          <w:b/>
          <w:sz w:val="24"/>
          <w:szCs w:val="24"/>
          <w:lang w:eastAsia="ar-SA"/>
        </w:rPr>
        <w:t>п</w:t>
      </w:r>
      <w:proofErr w:type="gramEnd"/>
      <w:r w:rsidRPr="002D51C9">
        <w:rPr>
          <w:rFonts w:ascii="Arial" w:eastAsia="Times New Roman" w:hAnsi="Arial" w:cs="Arial"/>
          <w:b/>
          <w:sz w:val="24"/>
          <w:szCs w:val="24"/>
          <w:lang w:eastAsia="ar-SA"/>
        </w:rPr>
        <w:t xml:space="preserve"> о с т а н о в л я е т:</w:t>
      </w:r>
    </w:p>
    <w:p w:rsidR="002D51C9" w:rsidRPr="002D51C9" w:rsidRDefault="002D51C9" w:rsidP="002D51C9">
      <w:pPr>
        <w:spacing w:after="0" w:line="240" w:lineRule="auto"/>
        <w:ind w:right="27" w:firstLine="567"/>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 xml:space="preserve">1. Внести в постановление администрации Подгоренского сельского поселения </w:t>
      </w:r>
      <w:r w:rsidRPr="002D51C9">
        <w:rPr>
          <w:rFonts w:ascii="Arial" w:eastAsia="Times New Roman" w:hAnsi="Arial" w:cs="Arial"/>
          <w:bCs/>
          <w:sz w:val="24"/>
          <w:szCs w:val="24"/>
          <w:lang w:eastAsia="ar-SA"/>
        </w:rPr>
        <w:t>от 26.02.2016 г. № 16 «Об утверждении административного регламента по предоставлению муниципальной услуги «</w:t>
      </w:r>
      <w:r w:rsidRPr="002D51C9">
        <w:rPr>
          <w:rFonts w:ascii="Arial" w:hAnsi="Arial" w:cs="Arial"/>
          <w:color w:val="000000" w:themeColor="text1"/>
          <w:sz w:val="24"/>
          <w:szCs w:val="24"/>
        </w:rPr>
        <w:t>Утверждение и выдача схем расположения земельных участков на кадастровом плане территории» (в редакции от 29.03.2019 г. № 34, 30.03.2020г. №17, от 29.11.2021 г. №50)</w:t>
      </w:r>
      <w:r>
        <w:rPr>
          <w:rFonts w:ascii="Arial" w:hAnsi="Arial" w:cs="Arial"/>
          <w:color w:val="000000" w:themeColor="text1"/>
          <w:sz w:val="24"/>
          <w:szCs w:val="24"/>
        </w:rPr>
        <w:t xml:space="preserve"> </w:t>
      </w:r>
      <w:r w:rsidRPr="002D51C9">
        <w:rPr>
          <w:rFonts w:ascii="Arial" w:eastAsia="Times New Roman" w:hAnsi="Arial" w:cs="Arial"/>
          <w:sz w:val="24"/>
          <w:szCs w:val="24"/>
          <w:lang w:eastAsia="ar-SA"/>
        </w:rPr>
        <w:t>следующие изменения:</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1.1. Раздел 5 изложить в следующей редакции:</w:t>
      </w:r>
    </w:p>
    <w:p w:rsidR="002D51C9" w:rsidRPr="002D51C9" w:rsidRDefault="002D51C9" w:rsidP="002D51C9">
      <w:pPr>
        <w:tabs>
          <w:tab w:val="left" w:pos="540"/>
          <w:tab w:val="left" w:pos="720"/>
          <w:tab w:val="left" w:pos="900"/>
        </w:tabs>
        <w:suppressAutoHyphens/>
        <w:spacing w:after="0" w:line="240" w:lineRule="auto"/>
        <w:ind w:firstLine="709"/>
        <w:jc w:val="center"/>
        <w:rPr>
          <w:rFonts w:ascii="Arial" w:eastAsia="Times New Roman" w:hAnsi="Arial" w:cs="Arial"/>
          <w:sz w:val="24"/>
          <w:szCs w:val="24"/>
          <w:lang w:eastAsia="ar-SA"/>
        </w:rPr>
      </w:pPr>
      <w:r w:rsidRPr="002D51C9">
        <w:rPr>
          <w:rFonts w:ascii="Arial" w:eastAsia="Times New Roman" w:hAnsi="Arial" w:cs="Arial"/>
          <w:sz w:val="24"/>
          <w:szCs w:val="24"/>
          <w:lang w:eastAsia="ar-SA"/>
        </w:rPr>
        <w:t>«5. Досудебный (внесудебный) порядок</w:t>
      </w:r>
    </w:p>
    <w:p w:rsidR="002D51C9" w:rsidRPr="002D51C9" w:rsidRDefault="002D51C9" w:rsidP="002D51C9">
      <w:pPr>
        <w:tabs>
          <w:tab w:val="left" w:pos="540"/>
          <w:tab w:val="left" w:pos="720"/>
          <w:tab w:val="left" w:pos="900"/>
        </w:tabs>
        <w:suppressAutoHyphens/>
        <w:spacing w:after="0" w:line="240" w:lineRule="auto"/>
        <w:ind w:firstLine="709"/>
        <w:jc w:val="center"/>
        <w:rPr>
          <w:rFonts w:ascii="Arial" w:eastAsia="Times New Roman" w:hAnsi="Arial" w:cs="Arial"/>
          <w:sz w:val="24"/>
          <w:szCs w:val="24"/>
          <w:lang w:eastAsia="ar-SA"/>
        </w:rPr>
      </w:pPr>
      <w:r w:rsidRPr="002D51C9">
        <w:rPr>
          <w:rFonts w:ascii="Arial" w:eastAsia="Times New Roman" w:hAnsi="Arial" w:cs="Arial"/>
          <w:sz w:val="24"/>
          <w:szCs w:val="24"/>
          <w:lang w:eastAsia="ar-SA"/>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D51C9" w:rsidRPr="002D51C9" w:rsidRDefault="002D51C9" w:rsidP="002D51C9">
      <w:pPr>
        <w:tabs>
          <w:tab w:val="left" w:pos="540"/>
          <w:tab w:val="left" w:pos="720"/>
          <w:tab w:val="left" w:pos="900"/>
        </w:tabs>
        <w:suppressAutoHyphens/>
        <w:spacing w:after="0" w:line="240" w:lineRule="auto"/>
        <w:ind w:firstLine="709"/>
        <w:jc w:val="center"/>
        <w:rPr>
          <w:rFonts w:ascii="Arial" w:eastAsia="Times New Roman" w:hAnsi="Arial" w:cs="Arial"/>
          <w:sz w:val="24"/>
          <w:szCs w:val="24"/>
          <w:lang w:eastAsia="ar-SA"/>
        </w:rPr>
      </w:pP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 xml:space="preserve">5.2. Заявитель может обратиться с </w:t>
      </w:r>
      <w:proofErr w:type="gramStart"/>
      <w:r w:rsidRPr="002D51C9">
        <w:rPr>
          <w:rFonts w:ascii="Arial" w:eastAsia="Times New Roman" w:hAnsi="Arial" w:cs="Arial"/>
          <w:sz w:val="24"/>
          <w:szCs w:val="24"/>
          <w:lang w:eastAsia="ar-SA"/>
        </w:rPr>
        <w:t>жалобой</w:t>
      </w:r>
      <w:proofErr w:type="gramEnd"/>
      <w:r w:rsidRPr="002D51C9">
        <w:rPr>
          <w:rFonts w:ascii="Arial" w:eastAsia="Times New Roman" w:hAnsi="Arial" w:cs="Arial"/>
          <w:sz w:val="24"/>
          <w:szCs w:val="24"/>
          <w:lang w:eastAsia="ar-SA"/>
        </w:rPr>
        <w:t xml:space="preserve"> в том числе в следующих случаях:</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 xml:space="preserve">- нарушение срока предоставления муниципальной услуги. </w:t>
      </w:r>
      <w:proofErr w:type="gramStart"/>
      <w:r w:rsidRPr="002D51C9">
        <w:rPr>
          <w:rFonts w:ascii="Arial" w:eastAsia="Times New Roman" w:hAnsi="Arial" w:cs="Arial"/>
          <w:sz w:val="24"/>
          <w:szCs w:val="24"/>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2D51C9">
        <w:rPr>
          <w:rFonts w:ascii="Arial" w:eastAsia="Times New Roman" w:hAnsi="Arial" w:cs="Arial"/>
          <w:sz w:val="24"/>
          <w:szCs w:val="24"/>
          <w:lang w:eastAsia="ar-SA"/>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proofErr w:type="gramStart"/>
      <w:r w:rsidRPr="002D51C9">
        <w:rPr>
          <w:rFonts w:ascii="Arial" w:eastAsia="Times New Roman" w:hAnsi="Arial" w:cs="Arial"/>
          <w:sz w:val="24"/>
          <w:szCs w:val="24"/>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r w:rsidRPr="002D51C9">
        <w:rPr>
          <w:rFonts w:ascii="Arial" w:eastAsia="Times New Roman" w:hAnsi="Arial" w:cs="Arial"/>
          <w:sz w:val="24"/>
          <w:szCs w:val="24"/>
          <w:lang w:eastAsia="ar-SA"/>
        </w:rPr>
        <w:t xml:space="preserve"> </w:t>
      </w:r>
      <w:proofErr w:type="gramStart"/>
      <w:r w:rsidRPr="002D51C9">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proofErr w:type="gramStart"/>
      <w:r w:rsidRPr="002D51C9">
        <w:rPr>
          <w:rFonts w:ascii="Arial" w:eastAsia="Times New Roman" w:hAnsi="Arial" w:cs="Arial"/>
          <w:sz w:val="24"/>
          <w:szCs w:val="24"/>
          <w:lang w:eastAsia="ar-SA"/>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51C9">
        <w:rPr>
          <w:rFonts w:ascii="Arial" w:eastAsia="Times New Roman" w:hAnsi="Arial" w:cs="Arial"/>
          <w:sz w:val="24"/>
          <w:szCs w:val="24"/>
          <w:lang w:eastAsia="ar-SA"/>
        </w:rPr>
        <w:t xml:space="preserve"> </w:t>
      </w:r>
      <w:proofErr w:type="gramStart"/>
      <w:r w:rsidRPr="002D51C9">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 нарушение срока или порядка выдачи документов по результатам предоставления муниципальной услуги;</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proofErr w:type="gramStart"/>
      <w:r w:rsidRPr="002D51C9">
        <w:rPr>
          <w:rFonts w:ascii="Arial" w:eastAsia="Times New Roman" w:hAnsi="Arial" w:cs="Arial"/>
          <w:sz w:val="24"/>
          <w:szCs w:val="24"/>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r w:rsidRPr="002D51C9">
        <w:rPr>
          <w:rFonts w:ascii="Arial" w:eastAsia="Times New Roman" w:hAnsi="Arial" w:cs="Arial"/>
          <w:sz w:val="24"/>
          <w:szCs w:val="24"/>
          <w:lang w:eastAsia="ar-SA"/>
        </w:rPr>
        <w:t xml:space="preserve"> </w:t>
      </w:r>
      <w:proofErr w:type="gramStart"/>
      <w:r w:rsidRPr="002D51C9">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proofErr w:type="gramStart"/>
      <w:r w:rsidRPr="002D51C9">
        <w:rPr>
          <w:rFonts w:ascii="Arial" w:eastAsia="Times New Roman" w:hAnsi="Arial" w:cs="Arial"/>
          <w:sz w:val="24"/>
          <w:szCs w:val="24"/>
          <w:lang w:eastAsia="ar-SA"/>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2D51C9">
        <w:rPr>
          <w:rFonts w:ascii="Arial" w:eastAsia="Times New Roman" w:hAnsi="Arial" w:cs="Arial"/>
          <w:sz w:val="24"/>
          <w:szCs w:val="24"/>
          <w:lang w:eastAsia="ar-SA"/>
        </w:rPr>
        <w:t xml:space="preserve"> </w:t>
      </w:r>
      <w:proofErr w:type="gramStart"/>
      <w:r w:rsidRPr="002D51C9">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5.3. Заявители имеют право на получение информации, необходимой для обоснования и рассмотрения жалобы.</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5.4. Оснований для отказа в рассмотрении жалобы не имеется.</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5.5. Основанием для начала процедуры досудебного (внесудебного) обжалования является поступившая жалоба.</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proofErr w:type="gramStart"/>
      <w:r w:rsidRPr="002D51C9">
        <w:rPr>
          <w:rFonts w:ascii="Arial" w:eastAsia="Times New Roman" w:hAnsi="Arial" w:cs="Arial"/>
          <w:sz w:val="24"/>
          <w:szCs w:val="24"/>
          <w:lang w:eastAsia="ar-SA"/>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proofErr w:type="gramStart"/>
      <w:r w:rsidRPr="002D51C9">
        <w:rPr>
          <w:rFonts w:ascii="Arial" w:eastAsia="Times New Roman" w:hAnsi="Arial" w:cs="Arial"/>
          <w:sz w:val="24"/>
          <w:szCs w:val="24"/>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5.6. Жалоба должна содержать:</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 xml:space="preserve">- наименование администрации, должностного лица администрации либо </w:t>
      </w:r>
      <w:proofErr w:type="gramStart"/>
      <w:r w:rsidRPr="002D51C9">
        <w:rPr>
          <w:rFonts w:ascii="Arial" w:eastAsia="Times New Roman" w:hAnsi="Arial" w:cs="Arial"/>
          <w:sz w:val="24"/>
          <w:szCs w:val="24"/>
          <w:lang w:eastAsia="ar-SA"/>
        </w:rPr>
        <w:t>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proofErr w:type="gramStart"/>
      <w:r w:rsidRPr="002D51C9">
        <w:rPr>
          <w:rFonts w:ascii="Arial" w:eastAsia="Times New Roman" w:hAnsi="Arial" w:cs="Arial"/>
          <w:sz w:val="24"/>
          <w:szCs w:val="24"/>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w:t>
      </w:r>
      <w:bookmarkStart w:id="0" w:name="_GoBack"/>
      <w:bookmarkEnd w:id="0"/>
      <w:r w:rsidRPr="002D51C9">
        <w:rPr>
          <w:rFonts w:ascii="Arial" w:eastAsia="Times New Roman" w:hAnsi="Arial" w:cs="Arial"/>
          <w:sz w:val="24"/>
          <w:szCs w:val="24"/>
          <w:lang w:eastAsia="ar-SA"/>
        </w:rPr>
        <w:t xml:space="preserve"> их работников. Заявителем могут быть представлены документы (при наличии), подтверждающие доводы заявителя, либо их копии.</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5.7. Заявитель может обжаловать решения и действия (бездействие) должностных лиц, муниципальных служащих администрации главе администрации.</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Жалобы на решения и действия (бездействие) работников привлекаемых организаций подаются руководителям этих организаций.</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5.9. По результатам рассмотрения жалобы лицом, уполномоченным на ее рассмотрение, принимается одно из следующих решений:</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proofErr w:type="gramStart"/>
      <w:r w:rsidRPr="002D51C9">
        <w:rPr>
          <w:rFonts w:ascii="Arial" w:eastAsia="Times New Roman"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2) в удовлетворении жалобы отказывается.</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 xml:space="preserve">5.10. </w:t>
      </w:r>
      <w:proofErr w:type="gramStart"/>
      <w:r w:rsidRPr="002D51C9">
        <w:rPr>
          <w:rFonts w:ascii="Arial" w:eastAsia="Times New Roman" w:hAnsi="Arial" w:cs="Arial"/>
          <w:sz w:val="24"/>
          <w:szCs w:val="24"/>
          <w:lang w:eastAsia="ar-SA"/>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2D51C9">
        <w:rPr>
          <w:rFonts w:ascii="Arial" w:eastAsia="Times New Roman" w:hAnsi="Arial" w:cs="Arial"/>
          <w:sz w:val="24"/>
          <w:szCs w:val="24"/>
          <w:lang w:eastAsia="ar-SA"/>
        </w:rPr>
        <w:t xml:space="preserve"> ее регистрации.</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3) наличие решения по жалобе, принятого ранее этим же органом в соответствии с требованиями Закона Воронежской области от 26.04.2013     № 53-</w:t>
      </w:r>
      <w:r w:rsidRPr="002D51C9">
        <w:rPr>
          <w:rFonts w:ascii="Arial" w:eastAsia="Times New Roman" w:hAnsi="Arial" w:cs="Arial"/>
          <w:sz w:val="24"/>
          <w:szCs w:val="24"/>
          <w:lang w:eastAsia="ar-SA"/>
        </w:rPr>
        <w:lastRenderedPageBreak/>
        <w:t>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4) если обжалуемые действия являются правомерными.</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51C9">
        <w:rPr>
          <w:rFonts w:ascii="Arial" w:eastAsia="Times New Roman" w:hAnsi="Arial" w:cs="Arial"/>
          <w:sz w:val="24"/>
          <w:szCs w:val="24"/>
          <w:lang w:eastAsia="ar-SA"/>
        </w:rPr>
        <w:t>неудобства</w:t>
      </w:r>
      <w:proofErr w:type="gramEnd"/>
      <w:r w:rsidRPr="002D51C9">
        <w:rPr>
          <w:rFonts w:ascii="Arial" w:eastAsia="Times New Roman" w:hAnsi="Arial" w:cs="Arial"/>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 xml:space="preserve">5.15. В случае признания </w:t>
      </w:r>
      <w:proofErr w:type="gramStart"/>
      <w:r w:rsidRPr="002D51C9">
        <w:rPr>
          <w:rFonts w:ascii="Arial" w:eastAsia="Times New Roman" w:hAnsi="Arial" w:cs="Arial"/>
          <w:sz w:val="24"/>
          <w:szCs w:val="24"/>
          <w:lang w:eastAsia="ar-SA"/>
        </w:rPr>
        <w:t>жалобы</w:t>
      </w:r>
      <w:proofErr w:type="gramEnd"/>
      <w:r w:rsidRPr="002D51C9">
        <w:rPr>
          <w:rFonts w:ascii="Arial" w:eastAsia="Times New Roman" w:hAnsi="Arial" w:cs="Arial"/>
          <w:sz w:val="24"/>
          <w:szCs w:val="24"/>
          <w:lang w:eastAsia="ar-SA"/>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 xml:space="preserve">5.16. В случае установления в ходе или по результатам </w:t>
      </w:r>
      <w:proofErr w:type="gramStart"/>
      <w:r w:rsidRPr="002D51C9">
        <w:rPr>
          <w:rFonts w:ascii="Arial" w:eastAsia="Times New Roman" w:hAnsi="Arial" w:cs="Arial"/>
          <w:sz w:val="24"/>
          <w:szCs w:val="24"/>
          <w:lang w:eastAsia="ar-SA"/>
        </w:rPr>
        <w:t>рассмотрения жалобы признаков состава административного правонарушения</w:t>
      </w:r>
      <w:proofErr w:type="gramEnd"/>
      <w:r w:rsidRPr="002D51C9">
        <w:rPr>
          <w:rFonts w:ascii="Arial" w:eastAsia="Times New Roman" w:hAnsi="Arial" w:cs="Arial"/>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2D51C9" w:rsidRPr="002D51C9" w:rsidRDefault="002D51C9" w:rsidP="002D51C9">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2D51C9">
        <w:rPr>
          <w:rFonts w:ascii="Arial" w:eastAsia="Times New Roman" w:hAnsi="Arial" w:cs="Arial"/>
          <w:sz w:val="24"/>
          <w:szCs w:val="24"/>
          <w:lang w:eastAsia="ar-SA"/>
        </w:rPr>
        <w:t xml:space="preserve">3. </w:t>
      </w:r>
      <w:proofErr w:type="gramStart"/>
      <w:r w:rsidRPr="002D51C9">
        <w:rPr>
          <w:rFonts w:ascii="Arial" w:eastAsia="Times New Roman" w:hAnsi="Arial" w:cs="Arial"/>
          <w:sz w:val="24"/>
          <w:szCs w:val="24"/>
          <w:lang w:eastAsia="ar-SA"/>
        </w:rPr>
        <w:t>Контроль за</w:t>
      </w:r>
      <w:proofErr w:type="gramEnd"/>
      <w:r w:rsidRPr="002D51C9">
        <w:rPr>
          <w:rFonts w:ascii="Arial" w:eastAsia="Times New Roman" w:hAnsi="Arial" w:cs="Arial"/>
          <w:sz w:val="24"/>
          <w:szCs w:val="24"/>
          <w:lang w:eastAsia="ar-SA"/>
        </w:rPr>
        <w:t xml:space="preserve"> исполнением настоящего постановления оставляю за собой.</w:t>
      </w:r>
    </w:p>
    <w:p w:rsidR="002D51C9" w:rsidRDefault="002D51C9" w:rsidP="002D51C9">
      <w:pPr>
        <w:tabs>
          <w:tab w:val="left" w:pos="540"/>
          <w:tab w:val="left" w:pos="720"/>
          <w:tab w:val="left" w:pos="900"/>
        </w:tabs>
        <w:suppressAutoHyphens/>
        <w:spacing w:after="0" w:line="240" w:lineRule="auto"/>
        <w:jc w:val="both"/>
        <w:rPr>
          <w:rFonts w:ascii="Arial" w:eastAsia="Times New Roman" w:hAnsi="Arial" w:cs="Arial"/>
          <w:b/>
          <w:sz w:val="24"/>
          <w:szCs w:val="24"/>
          <w:lang w:eastAsia="ar-SA"/>
        </w:rPr>
      </w:pPr>
    </w:p>
    <w:p w:rsidR="002D51C9" w:rsidRPr="002D51C9" w:rsidRDefault="002D51C9" w:rsidP="002D51C9">
      <w:pPr>
        <w:tabs>
          <w:tab w:val="left" w:pos="540"/>
          <w:tab w:val="left" w:pos="720"/>
          <w:tab w:val="left" w:pos="900"/>
        </w:tabs>
        <w:suppressAutoHyphens/>
        <w:spacing w:after="0" w:line="240" w:lineRule="auto"/>
        <w:jc w:val="both"/>
        <w:rPr>
          <w:rFonts w:ascii="Arial" w:eastAsia="Times New Roman" w:hAnsi="Arial" w:cs="Arial"/>
          <w:b/>
          <w:sz w:val="24"/>
          <w:szCs w:val="24"/>
          <w:lang w:eastAsia="ar-SA"/>
        </w:rPr>
      </w:pPr>
    </w:p>
    <w:p w:rsidR="002D51C9" w:rsidRDefault="002D51C9" w:rsidP="002D51C9">
      <w:pPr>
        <w:tabs>
          <w:tab w:val="left" w:pos="540"/>
          <w:tab w:val="left" w:pos="720"/>
          <w:tab w:val="left" w:pos="900"/>
        </w:tabs>
        <w:suppressAutoHyphens/>
        <w:spacing w:after="0" w:line="240" w:lineRule="auto"/>
        <w:jc w:val="both"/>
        <w:rPr>
          <w:rFonts w:ascii="Arial" w:eastAsia="Times New Roman" w:hAnsi="Arial" w:cs="Arial"/>
          <w:b/>
          <w:sz w:val="24"/>
          <w:szCs w:val="24"/>
          <w:lang w:eastAsia="ar-SA"/>
        </w:rPr>
      </w:pPr>
      <w:r w:rsidRPr="002D51C9">
        <w:rPr>
          <w:rFonts w:ascii="Arial" w:eastAsia="Times New Roman" w:hAnsi="Arial" w:cs="Arial"/>
          <w:b/>
          <w:sz w:val="24"/>
          <w:szCs w:val="24"/>
          <w:lang w:eastAsia="ar-SA"/>
        </w:rPr>
        <w:t>Глава Подгоренского</w:t>
      </w:r>
    </w:p>
    <w:p w:rsidR="002D51C9" w:rsidRPr="002D51C9" w:rsidRDefault="002D51C9" w:rsidP="002D51C9">
      <w:pPr>
        <w:tabs>
          <w:tab w:val="left" w:pos="540"/>
          <w:tab w:val="left" w:pos="720"/>
          <w:tab w:val="left" w:pos="900"/>
          <w:tab w:val="left" w:pos="5910"/>
        </w:tabs>
        <w:suppressAutoHyphens/>
        <w:spacing w:after="0" w:line="240" w:lineRule="auto"/>
        <w:jc w:val="both"/>
        <w:rPr>
          <w:rFonts w:ascii="Arial" w:hAnsi="Arial" w:cs="Arial"/>
          <w:b/>
          <w:sz w:val="24"/>
          <w:szCs w:val="24"/>
          <w:lang w:eastAsia="ru-RU"/>
        </w:rPr>
      </w:pPr>
      <w:r w:rsidRPr="002D51C9">
        <w:rPr>
          <w:rFonts w:ascii="Arial" w:eastAsia="Times New Roman" w:hAnsi="Arial" w:cs="Arial"/>
          <w:b/>
          <w:sz w:val="24"/>
          <w:szCs w:val="24"/>
          <w:lang w:eastAsia="ar-SA"/>
        </w:rPr>
        <w:t>сельского поселения</w:t>
      </w:r>
      <w:r>
        <w:rPr>
          <w:rFonts w:ascii="Arial" w:eastAsia="Times New Roman" w:hAnsi="Arial" w:cs="Arial"/>
          <w:b/>
          <w:sz w:val="24"/>
          <w:szCs w:val="24"/>
          <w:lang w:eastAsia="ar-SA"/>
        </w:rPr>
        <w:tab/>
      </w:r>
      <w:proofErr w:type="spellStart"/>
      <w:r>
        <w:rPr>
          <w:rFonts w:ascii="Arial" w:eastAsia="Times New Roman" w:hAnsi="Arial" w:cs="Arial"/>
          <w:b/>
          <w:sz w:val="24"/>
          <w:szCs w:val="24"/>
          <w:lang w:eastAsia="ar-SA"/>
        </w:rPr>
        <w:t>А.С.Разборский</w:t>
      </w:r>
      <w:proofErr w:type="spellEnd"/>
    </w:p>
    <w:p w:rsidR="002D51C9" w:rsidRPr="002D51C9" w:rsidRDefault="002D51C9" w:rsidP="002D51C9">
      <w:pPr>
        <w:spacing w:after="0" w:line="240" w:lineRule="auto"/>
        <w:rPr>
          <w:rFonts w:ascii="Arial" w:hAnsi="Arial" w:cs="Arial"/>
          <w:b/>
          <w:sz w:val="24"/>
          <w:szCs w:val="24"/>
          <w:lang w:eastAsia="ru-RU"/>
        </w:rPr>
      </w:pPr>
    </w:p>
    <w:p w:rsidR="002D51C9" w:rsidRPr="002D51C9" w:rsidRDefault="002D51C9" w:rsidP="002D51C9">
      <w:pPr>
        <w:spacing w:after="0" w:line="240" w:lineRule="auto"/>
        <w:rPr>
          <w:rFonts w:ascii="Arial" w:hAnsi="Arial" w:cs="Arial"/>
          <w:b/>
          <w:sz w:val="24"/>
          <w:szCs w:val="24"/>
          <w:lang w:eastAsia="ru-RU"/>
        </w:rPr>
      </w:pPr>
    </w:p>
    <w:p w:rsidR="002D51C9" w:rsidRPr="002D51C9" w:rsidRDefault="002D51C9">
      <w:pPr>
        <w:rPr>
          <w:rFonts w:ascii="Arial" w:hAnsi="Arial" w:cs="Arial"/>
          <w:sz w:val="24"/>
          <w:szCs w:val="24"/>
        </w:rPr>
      </w:pPr>
    </w:p>
    <w:sectPr w:rsidR="002D51C9" w:rsidRPr="002D5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C9"/>
    <w:rsid w:val="002D51C9"/>
    <w:rsid w:val="00635B42"/>
    <w:rsid w:val="00E918E0"/>
    <w:rsid w:val="00EA571D"/>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C9"/>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1C9"/>
    <w:rPr>
      <w:rFonts w:ascii="Calibri"/>
      <w:sz w:val="22"/>
      <w:szCs w:val="22"/>
      <w:lang w:eastAsia="ru-RU"/>
    </w:rPr>
  </w:style>
  <w:style w:type="paragraph" w:styleId="a4">
    <w:name w:val="Balloon Text"/>
    <w:basedOn w:val="a"/>
    <w:link w:val="a5"/>
    <w:uiPriority w:val="99"/>
    <w:semiHidden/>
    <w:unhideWhenUsed/>
    <w:rsid w:val="002D51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1C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C9"/>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1C9"/>
    <w:rPr>
      <w:rFonts w:ascii="Calibri"/>
      <w:sz w:val="22"/>
      <w:szCs w:val="22"/>
      <w:lang w:eastAsia="ru-RU"/>
    </w:rPr>
  </w:style>
  <w:style w:type="paragraph" w:styleId="a4">
    <w:name w:val="Balloon Text"/>
    <w:basedOn w:val="a"/>
    <w:link w:val="a5"/>
    <w:uiPriority w:val="99"/>
    <w:semiHidden/>
    <w:unhideWhenUsed/>
    <w:rsid w:val="002D51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1C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2297</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2022-12-21T08:10:00Z</cp:lastPrinted>
  <dcterms:created xsi:type="dcterms:W3CDTF">2022-12-19T06:35:00Z</dcterms:created>
  <dcterms:modified xsi:type="dcterms:W3CDTF">2022-12-21T08:11:00Z</dcterms:modified>
</cp:coreProperties>
</file>