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FA" w:rsidRPr="00AE2FBA" w:rsidRDefault="00BD21FA" w:rsidP="00BD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21FA" w:rsidRPr="00AE2FBA" w:rsidRDefault="00BD21FA" w:rsidP="00BD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АДМИНИСТРАЦИЯ ПОДГОРЕНСКОГО СЕЛЬСКОГО ПОСЕЛЕНИЯ</w:t>
      </w:r>
    </w:p>
    <w:p w:rsidR="00BD21FA" w:rsidRPr="00AE2FBA" w:rsidRDefault="00BD21FA" w:rsidP="00BD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BD21FA" w:rsidRPr="00AE2FBA" w:rsidRDefault="00BD21FA" w:rsidP="00BD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D21FA" w:rsidRPr="00AE2FBA" w:rsidRDefault="00BD21FA" w:rsidP="00BD21FA">
      <w:pPr>
        <w:pStyle w:val="a6"/>
        <w:jc w:val="center"/>
        <w:rPr>
          <w:b/>
          <w:bCs/>
          <w:sz w:val="24"/>
          <w:szCs w:val="24"/>
        </w:rPr>
      </w:pPr>
    </w:p>
    <w:p w:rsidR="00BD21FA" w:rsidRPr="00AE2FBA" w:rsidRDefault="00BD21FA" w:rsidP="00BD21FA">
      <w:pPr>
        <w:pStyle w:val="a6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 w:rsidRPr="00AE2FBA">
        <w:rPr>
          <w:b/>
          <w:bCs/>
          <w:sz w:val="24"/>
          <w:szCs w:val="24"/>
        </w:rPr>
        <w:t>П</w:t>
      </w:r>
      <w:proofErr w:type="gramEnd"/>
      <w:r w:rsidRPr="00AE2FBA">
        <w:rPr>
          <w:b/>
          <w:bCs/>
          <w:sz w:val="24"/>
          <w:szCs w:val="24"/>
        </w:rPr>
        <w:t xml:space="preserve"> О С Т А Н О В Л Е Н И Е</w:t>
      </w:r>
    </w:p>
    <w:p w:rsidR="00BD21FA" w:rsidRPr="00AE2FBA" w:rsidRDefault="00BD21FA" w:rsidP="00BD21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cyan"/>
          <w:lang w:val="ru-RU"/>
        </w:rPr>
      </w:pPr>
    </w:p>
    <w:p w:rsidR="00FF2AD2" w:rsidRPr="00AE2FBA" w:rsidRDefault="00FF2AD2" w:rsidP="00BD21FA">
      <w:pPr>
        <w:shd w:val="clear" w:color="auto" w:fill="FFFFFF"/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от </w:t>
      </w:r>
      <w:r w:rsidR="00C46BCB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="00D03EEE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марта </w:t>
      </w: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2017</w:t>
      </w:r>
      <w:r w:rsidR="00BD21FA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</w:t>
      </w:r>
      <w:r w:rsidR="00BD21FA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№1</w:t>
      </w:r>
      <w:r w:rsidR="0070295E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</w:t>
      </w:r>
    </w:p>
    <w:p w:rsidR="00FF2AD2" w:rsidRPr="00AE2FBA" w:rsidRDefault="00FF2AD2" w:rsidP="00FF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с. </w:t>
      </w:r>
      <w:r w:rsidR="00BD21FA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Подгорное</w:t>
      </w:r>
    </w:p>
    <w:p w:rsidR="00FF2AD2" w:rsidRPr="00AE2FBA" w:rsidRDefault="00FF2AD2" w:rsidP="00FF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16D5" w:rsidRPr="00AE2FBA" w:rsidRDefault="00C816D5" w:rsidP="00C8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 утверждении Программы комплексного развития</w:t>
      </w:r>
    </w:p>
    <w:p w:rsidR="00C816D5" w:rsidRPr="00AE2FBA" w:rsidRDefault="00C816D5" w:rsidP="00C8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социальной инфраструктуры </w:t>
      </w:r>
      <w:r w:rsidR="00BD21FA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Подгоренского </w:t>
      </w: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сельского</w:t>
      </w:r>
    </w:p>
    <w:p w:rsidR="00C816D5" w:rsidRPr="00AE2FBA" w:rsidRDefault="00C816D5" w:rsidP="00C8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поселения Калачеевского муниципального района</w:t>
      </w:r>
    </w:p>
    <w:p w:rsidR="00C816D5" w:rsidRPr="00AE2FBA" w:rsidRDefault="00C816D5" w:rsidP="00C8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Воронежской области на 2017-20</w:t>
      </w:r>
      <w:r w:rsidR="00BD21FA"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30</w:t>
      </w:r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E2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гг</w:t>
      </w:r>
      <w:proofErr w:type="spellEnd"/>
      <w:proofErr w:type="gramEnd"/>
    </w:p>
    <w:p w:rsidR="00FF2AD2" w:rsidRPr="00AE2FBA" w:rsidRDefault="00FF2AD2" w:rsidP="00BD21F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п. 8 ст. 8 Градостроительного кодекса РФ, постановлением Правительства РФ от 01.10.2015 № 1050 «Об утверждении требований к комплексным программам развития социальной инфраструктуры», в целях повышения качества жизни населения, его занятости и </w:t>
      </w:r>
      <w:proofErr w:type="spell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самозанятости</w:t>
      </w:r>
      <w:proofErr w:type="spell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</w:t>
      </w:r>
      <w:r w:rsidR="00BD21F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поселения, руководствуясь Уставом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поселения, администрация </w:t>
      </w:r>
      <w:r w:rsidR="00BD21F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BD21F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С Т А Н О В Л Я Е Т:</w:t>
      </w:r>
    </w:p>
    <w:p w:rsidR="00FF2AD2" w:rsidRPr="00AE2FBA" w:rsidRDefault="00FF2AD2" w:rsidP="00BD21F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1.Утвердить Программу комплексного развития социальной инфраструктуры </w:t>
      </w:r>
      <w:r w:rsidR="00BD21F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 на 2017-20</w:t>
      </w:r>
      <w:r w:rsidR="00BD21F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гг.</w:t>
      </w:r>
    </w:p>
    <w:p w:rsidR="00FF2AD2" w:rsidRPr="00AE2FBA" w:rsidRDefault="00C46BCB" w:rsidP="00BD21F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Опубликовать настоящее постановление в Вестнике муниципальных правовых актов </w:t>
      </w:r>
      <w:r w:rsidR="00BD21F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поселения.</w:t>
      </w:r>
    </w:p>
    <w:p w:rsidR="00C46BCB" w:rsidRPr="00AE2FBA" w:rsidRDefault="00C46BCB" w:rsidP="00C46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</w:p>
    <w:p w:rsidR="00FF2AD2" w:rsidRPr="00AE2FBA" w:rsidRDefault="00FF2AD2" w:rsidP="00AE3108">
      <w:pPr>
        <w:shd w:val="clear" w:color="auto" w:fill="FFFFFF"/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А.С.Разборский</w:t>
      </w:r>
      <w:proofErr w:type="spellEnd"/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108" w:rsidRPr="00AE2FBA" w:rsidRDefault="00AE3108" w:rsidP="00FF2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108" w:rsidRPr="00AE2FBA" w:rsidRDefault="00AE3108" w:rsidP="00FF2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УТВЕРЖДЕНА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администрации</w:t>
      </w:r>
    </w:p>
    <w:p w:rsidR="00FF2AD2" w:rsidRPr="00AE2FBA" w:rsidRDefault="00AE3108" w:rsidP="00FF2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C46BCB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03EEE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марта 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№ 1</w:t>
      </w:r>
      <w:r w:rsidR="0070295E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КОМПЛЕКСНОГО РАЗВИТИЯ СОЦИАЛЬНОЙ ИНФРАСТРУКТУРЫ 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</w:t>
      </w:r>
    </w:p>
    <w:p w:rsidR="00FF2AD2" w:rsidRPr="00AE2FBA" w:rsidRDefault="00340F39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2017 - 20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гг.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год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295E" w:rsidRPr="00AE2FBA" w:rsidRDefault="0070295E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295E" w:rsidRPr="00AE2FBA" w:rsidRDefault="0070295E" w:rsidP="00FF2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108" w:rsidRPr="00AE2FBA" w:rsidRDefault="00AE3108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AE3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FBA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</w:p>
    <w:p w:rsidR="00FF2AD2" w:rsidRPr="00AE2FBA" w:rsidRDefault="00FF2AD2" w:rsidP="00AE3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социальной инфраструктуры 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 2017-20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FF2AD2" w:rsidRPr="00AE2FBA" w:rsidRDefault="00FF2AD2" w:rsidP="00AE31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</w:t>
      </w:r>
      <w:proofErr w:type="spellStart"/>
      <w:r w:rsidRPr="00AE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spellEnd"/>
    </w:p>
    <w:tbl>
      <w:tblPr>
        <w:tblW w:w="933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6"/>
        <w:gridCol w:w="7109"/>
      </w:tblGrid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70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«Комплексного развития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социальной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инфраструктуры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поселения Калачеевского муниципального района Воронежской области</w:t>
            </w:r>
            <w:r w:rsidR="0070295E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</w:t>
            </w:r>
            <w:r w:rsidR="0070295E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годы»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39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Градостроительный кодекс Российской Федерации, Федеральный Закон №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131-ФЗ от 06.10.2003 «Об общих принципах организации местного самоуправления в Российской Федерации», Постановление Правительства  РФ от 01.10.2015№1050 «Об утверждении требований к комплексным программам развития комплексной инфраструктуры», Устав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поселения, распоряжение администрации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 от </w:t>
            </w:r>
            <w:r w:rsidR="003920F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13.03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 w:rsidR="003920F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AF42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3920F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 создании комиссии о назначении ответственных лиц за разработку программы комплексного развития социальной инфраструктуры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поселения», Генеральный план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поселения.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Заказчик программы 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3108" w:rsidRPr="00AE2FBA" w:rsidRDefault="00FF2AD2" w:rsidP="00AE31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сельского  поселения Калачеевского муниципального района   Воронежской области, адрес:</w:t>
            </w:r>
            <w:r w:rsidR="00AF42D0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3976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F42D0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область, Калачеевский район,</w:t>
            </w:r>
          </w:p>
          <w:p w:rsidR="00AF42D0" w:rsidRPr="00AE2FBA" w:rsidRDefault="00AF42D0" w:rsidP="00AE31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2AD2" w:rsidRPr="00AE2FBA" w:rsidRDefault="00AF42D0" w:rsidP="00AF4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Исполнители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3108" w:rsidRPr="00AE2FBA" w:rsidRDefault="00FF2AD2" w:rsidP="00AE31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сельского  поселения Калачеевского муниципального района   Воронежской области, адрес:</w:t>
            </w:r>
            <w:r w:rsidR="00AF42D0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397612 Воронежская область, Калачеевский район,</w:t>
            </w:r>
          </w:p>
          <w:p w:rsidR="00FF2AD2" w:rsidRPr="00AE2FBA" w:rsidRDefault="00AE3108" w:rsidP="00AE31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дом 14.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Комплексное развитие социальной инфраструктуры 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FF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-безопасность, качество и эффективность социального обслуживания населения, юридических лиц и индивидуальных предпринимателей сельского поселения;</w:t>
            </w:r>
          </w:p>
          <w:p w:rsidR="00FF2AD2" w:rsidRPr="00AE2FBA" w:rsidRDefault="00FF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FF2AD2" w:rsidRPr="00AE2FBA" w:rsidRDefault="00FF2AD2" w:rsidP="00AE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-эффективность функционирования действующей социальной инфраструктуры.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уменьшение доли социальных объектов, не отвечающих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нормативным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требования, в общей численности объектов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социальной инфраструктуры;</w:t>
            </w:r>
          </w:p>
          <w:p w:rsidR="00FF2AD2" w:rsidRPr="00AE2FBA" w:rsidRDefault="00FF2A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-достижение расчетного уровня обеспеченности населения социальными услугами. </w:t>
            </w:r>
          </w:p>
        </w:tc>
      </w:tr>
      <w:tr w:rsidR="00FF2AD2" w:rsidRPr="00AE2FBA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AE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</w:t>
            </w:r>
            <w:r w:rsidR="00AE3108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FF2AD2" w:rsidRPr="00AE2FBA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FF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Содержание, ремонт и капитальный ремонт объектов социальной </w:t>
            </w:r>
            <w:r w:rsidR="00C46BCB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инфраструктуры поселения.</w:t>
            </w:r>
          </w:p>
          <w:p w:rsidR="00FF2AD2" w:rsidRPr="00AE2FBA" w:rsidRDefault="00FF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2AD2" w:rsidRPr="00AE2FBA" w:rsidRDefault="00FF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финансируется из местного, районного, областного и федерального бюджетов, инвестиционных ресурсов,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предприятий,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организаций,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предпринимателей,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учреждений,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 граждан</w:t>
            </w:r>
            <w:proofErr w:type="gramEnd"/>
          </w:p>
          <w:p w:rsidR="00FF2AD2" w:rsidRPr="00AE2FBA" w:rsidRDefault="00FF2AD2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 </w:t>
            </w:r>
            <w:r w:rsidR="00603B6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F2AD2" w:rsidRPr="00AE2FBA" w:rsidRDefault="0076054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2018- 1</w:t>
            </w:r>
            <w:r w:rsidR="00603B6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F2AD2" w:rsidRPr="00AE2FBA" w:rsidRDefault="00603B6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2019-10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F2AD2" w:rsidRPr="00AE2FBA" w:rsidRDefault="0076054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 </w:t>
            </w:r>
            <w:r w:rsidR="00603B6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23FD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FF2AD2" w:rsidRPr="00AE2FBA" w:rsidRDefault="00603B6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76054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</w:t>
            </w:r>
          </w:p>
          <w:p w:rsidR="00FF2AD2" w:rsidRPr="00AE2FBA" w:rsidRDefault="00603B6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F2AD2" w:rsidRPr="00AE2FBA" w:rsidRDefault="00603B6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2023-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0548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FF2AD2" w:rsidRPr="00AE2FBA" w:rsidRDefault="005D26A9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2024- 20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F2AD2" w:rsidRPr="00AE2FBA" w:rsidRDefault="00603B6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E78D8" w:rsidRPr="00AE2FBA" w:rsidRDefault="00DE78D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DE78D8" w:rsidRPr="00AE2FBA" w:rsidRDefault="00DE78D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DE78D8" w:rsidRPr="00AE2FBA" w:rsidRDefault="00DE78D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DE78D8" w:rsidRPr="00AE2FBA" w:rsidRDefault="00DE78D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DE78D8" w:rsidRPr="00AE2FBA" w:rsidRDefault="00DE78D8" w:rsidP="00DE7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2030-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FF2AD2" w:rsidRPr="00AE2FBA" w:rsidRDefault="00FF2AD2" w:rsidP="005D2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  <w:r w:rsidR="00340F39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D26A9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40F39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рублей.</w:t>
            </w:r>
          </w:p>
        </w:tc>
      </w:tr>
      <w:tr w:rsidR="00FF2AD2" w:rsidRPr="00401A75" w:rsidTr="00FF2AD2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FF2A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развития.</w:t>
            </w:r>
          </w:p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2.Характеристика существующего состояния социальной инфраструктуры </w:t>
      </w:r>
      <w:r w:rsidR="00AE3108" w:rsidRPr="00AE2F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сельского поселения.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Анализ социальной инфраструктуры сельского поселения</w:t>
      </w:r>
    </w:p>
    <w:p w:rsidR="00AC54F8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Общая площадь сельского поселения составляет </w:t>
      </w:r>
      <w:r w:rsidR="00B9048C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га. Численность населения по данным на 01.01.201</w:t>
      </w:r>
      <w:r w:rsidR="00401A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составила 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2057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 В состав поселения </w:t>
      </w:r>
      <w:r w:rsidR="0050185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входят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следующие населенные пункты: с. </w:t>
      </w:r>
      <w:proofErr w:type="gramStart"/>
      <w:r w:rsidR="00DE78D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одгорное</w:t>
      </w:r>
      <w:proofErr w:type="gramEnd"/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с. Ильинка, с. Серяково, х. </w:t>
      </w:r>
      <w:proofErr w:type="spellStart"/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Долбневка</w:t>
      </w:r>
      <w:proofErr w:type="spellEnd"/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земельных ресурсов 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состоянию на 01.01.2016г.</w:t>
      </w:r>
    </w:p>
    <w:tbl>
      <w:tblPr>
        <w:tblW w:w="95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7"/>
        <w:gridCol w:w="1666"/>
        <w:gridCol w:w="1921"/>
        <w:gridCol w:w="2431"/>
      </w:tblGrid>
      <w:tr w:rsidR="00FF2AD2" w:rsidRPr="00AE2FBA" w:rsidTr="00B9048C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измерения,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AC54F8" w:rsidRPr="00AE2FBA" w:rsidTr="00AC54F8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4F8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земель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поселения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установленных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границах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4F8" w:rsidRPr="00AE2FBA" w:rsidRDefault="00AC54F8" w:rsidP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21167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21167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21167</w:t>
            </w:r>
          </w:p>
        </w:tc>
      </w:tr>
      <w:tr w:rsidR="00FF2AD2" w:rsidRPr="00AE2FBA" w:rsidTr="00B9048C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54F8" w:rsidRPr="00AE2FBA" w:rsidTr="003B34CA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4F8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4F8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19267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19267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19267</w:t>
            </w:r>
          </w:p>
        </w:tc>
      </w:tr>
      <w:tr w:rsidR="00AC54F8" w:rsidRPr="00AE2FBA" w:rsidTr="003B34CA">
        <w:trPr>
          <w:trHeight w:val="385"/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4F8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4F8" w:rsidRPr="00AE2FBA" w:rsidRDefault="00AC54F8" w:rsidP="00B90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1301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1301</w:t>
            </w:r>
          </w:p>
        </w:tc>
      </w:tr>
      <w:tr w:rsidR="00AC54F8" w:rsidRPr="00AE2FBA" w:rsidTr="003B34CA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4F8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4F8" w:rsidRPr="00AE2FBA" w:rsidRDefault="00AC54F8" w:rsidP="00C77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4F8" w:rsidRPr="00AE2FBA" w:rsidRDefault="00AC54F8" w:rsidP="00A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</w:tr>
      <w:tr w:rsidR="00B9048C" w:rsidRPr="00AE2FBA" w:rsidTr="00AC54F8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48C" w:rsidRPr="00AE2FBA" w:rsidRDefault="00B90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Земли промышленности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8C" w:rsidRPr="00AE2FBA" w:rsidRDefault="00AC54F8" w:rsidP="00C77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8C" w:rsidRPr="00AE2FBA" w:rsidRDefault="00AC54F8" w:rsidP="00F4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8C" w:rsidRPr="00AE2FBA" w:rsidRDefault="00AC54F8" w:rsidP="00F4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FF2AD2" w:rsidRPr="00AE2FBA" w:rsidTr="00AC54F8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2.1.1.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Подгоренское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сельское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поселение включает в себя 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населенны</w:t>
      </w:r>
      <w:r w:rsidR="00F47F0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</w:t>
      </w:r>
      <w:r w:rsidR="00F47F0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 центром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</w:t>
      </w:r>
      <w:r w:rsidR="00AC54F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Подгорное</w:t>
      </w:r>
    </w:p>
    <w:tbl>
      <w:tblPr>
        <w:tblW w:w="90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6"/>
        <w:gridCol w:w="2432"/>
        <w:gridCol w:w="30"/>
        <w:gridCol w:w="1761"/>
        <w:gridCol w:w="30"/>
        <w:gridCol w:w="2855"/>
      </w:tblGrid>
      <w:tr w:rsidR="00FF2AD2" w:rsidRPr="00401A75" w:rsidTr="00DE78D8">
        <w:trPr>
          <w:tblCellSpacing w:w="15" w:type="dxa"/>
          <w:jc w:val="center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населения населенного пункта, чел.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  <w:p w:rsidR="00FF2AD2" w:rsidRPr="00AE2FBA" w:rsidRDefault="00F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Расстояние от населенного пункта до центра поселения,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</w:tr>
      <w:tr w:rsidR="00DE78D8" w:rsidRPr="00AE2FBA" w:rsidTr="00DE78D8">
        <w:trPr>
          <w:trHeight w:val="631"/>
          <w:tblCellSpacing w:w="15" w:type="dxa"/>
          <w:jc w:val="center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8D8" w:rsidRPr="00AE2FBA" w:rsidRDefault="00DE78D8" w:rsidP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Подгорное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8D8" w:rsidRPr="00AE2FBA" w:rsidRDefault="00DE78D8" w:rsidP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1622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8D8" w:rsidRPr="00AE2FBA" w:rsidRDefault="00DE78D8" w:rsidP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78D8" w:rsidRPr="00AE2FBA" w:rsidTr="00DE78D8">
        <w:trPr>
          <w:tblCellSpacing w:w="15" w:type="dxa"/>
          <w:jc w:val="center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8D8" w:rsidRPr="00AE2FBA" w:rsidRDefault="00DE78D8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Ильинка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E78D8" w:rsidRPr="00AE2FBA" w:rsidTr="00DE78D8">
        <w:trPr>
          <w:tblCellSpacing w:w="15" w:type="dxa"/>
          <w:jc w:val="center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AC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Серяково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DE78D8" w:rsidRPr="00AE2FBA" w:rsidTr="00DE78D8">
        <w:trPr>
          <w:tblCellSpacing w:w="15" w:type="dxa"/>
          <w:jc w:val="center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х.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Долбневка</w:t>
            </w:r>
            <w:proofErr w:type="spellEnd"/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 w:rsidP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DE78D8" w:rsidRPr="00AE2FBA" w:rsidTr="00DE78D8">
        <w:trPr>
          <w:trHeight w:val="487"/>
          <w:tblCellSpacing w:w="15" w:type="dxa"/>
          <w:jc w:val="center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2057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8D8" w:rsidRPr="00AE2FBA" w:rsidRDefault="00DE78D8" w:rsidP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8D8" w:rsidRPr="00AE2FBA" w:rsidRDefault="00DE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2.1.2.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Демографическая ситуация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Общая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численность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населения 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на 01.01.201</w:t>
      </w:r>
      <w:r w:rsidR="00401A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составила </w:t>
      </w:r>
      <w:r w:rsidR="00B9048C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E78D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 Численность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трудоспособного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возраста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составляет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78D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1073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человека (</w:t>
      </w:r>
      <w:r w:rsidR="00DE78D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52,2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от общей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численности). Детей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возрасте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15 лет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6F95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9048C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E78D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населения сельского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поселения.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Демографические изменения в составе населения (на 01.01.2016г.)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о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среднегодовом приросте населения и тенденции его изменения.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8"/>
        <w:gridCol w:w="2877"/>
        <w:gridCol w:w="1048"/>
        <w:gridCol w:w="1048"/>
        <w:gridCol w:w="1048"/>
        <w:gridCol w:w="1048"/>
        <w:gridCol w:w="1063"/>
      </w:tblGrid>
      <w:tr w:rsidR="00FF2AD2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0C5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0C5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0C5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0C5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0C5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D0C54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Естественный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убыль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 w:rsidP="005D2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-28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976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976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C54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767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976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D0C54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767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CD0C54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D0C54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Механический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976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D0C54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17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976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976D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CD0C54" w:rsidRPr="00AE2FBA" w:rsidTr="00CD0C54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2510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 w:rsidP="00A9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CD0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2126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3976D0" w:rsidP="00A9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C54" w:rsidRPr="00AE2FBA" w:rsidRDefault="003976D0" w:rsidP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2057</w:t>
            </w: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Структуру населения на 201</w:t>
      </w:r>
      <w:r w:rsidR="00401A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можно обозначить следующим образом: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наличного населения по сельскому поселению – </w:t>
      </w:r>
      <w:r w:rsidR="00FD778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Население в трудоспособном возрасте – 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1073</w:t>
      </w:r>
      <w:r w:rsidR="00FD778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 (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Население старше трудоспособного возраста – 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 (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%)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Воронежской области, и характеризуется низким уровнем рождаемости, высокой смертностью, неблагоприятным соотношение «рождаемость-смертность»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самообеспечения</w:t>
      </w:r>
      <w:proofErr w:type="spell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обанкротилась ранее крупные производственные и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сердечно-сосудистых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заболеваний, онкологии. На показатели рождаемости влияют следующие моменты: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материальное благополучие;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государственные выплаты за рождение второго ребенка;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наличие собственного жилья;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уверенность в будущем подрастающего поколения.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2.1.3.Рынок труда в поселении</w:t>
      </w:r>
    </w:p>
    <w:p w:rsidR="00340F39" w:rsidRPr="00AE2FBA" w:rsidRDefault="00340F39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Численность трудоспособного населения - около 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1073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человека, население граждан, не достигших совершеннолетия — 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257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 Доля численности населения в трудоспособном возрасте от общей составляет 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976D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процентов.</w:t>
      </w:r>
    </w:p>
    <w:p w:rsidR="0070295E" w:rsidRPr="00AE2FBA" w:rsidRDefault="0070295E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3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991"/>
        <w:gridCol w:w="1134"/>
        <w:gridCol w:w="992"/>
        <w:gridCol w:w="993"/>
        <w:gridCol w:w="983"/>
      </w:tblGrid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976D0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6D0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6D0" w:rsidRPr="00AE2FBA" w:rsidRDefault="003976D0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6D0" w:rsidRPr="00AE2FBA" w:rsidRDefault="003976D0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6D0" w:rsidRPr="00AE2FBA" w:rsidRDefault="003976D0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2126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6D0" w:rsidRPr="00AE2FBA" w:rsidRDefault="003976D0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6D0" w:rsidRPr="00AE2FBA" w:rsidRDefault="003976D0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2057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6B433A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902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работающих от общего кол-ва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жителей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9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6B433A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43,9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A789B" w:rsidP="007A7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B34CA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</w:t>
            </w:r>
            <w:proofErr w:type="spellStart"/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</w:t>
            </w:r>
            <w:proofErr w:type="spellEnd"/>
            <w:proofErr w:type="gramEnd"/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proofErr w:type="spellEnd"/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A789B" w:rsidP="007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B34CA" w:rsidP="003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A7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B34CA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A789B" w:rsidP="003C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1131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1131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двор</w:t>
            </w:r>
            <w:r w:rsidR="003B34CA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занимающихся ЛПХ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B34CA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3B34CA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FD27A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427</w:t>
            </w:r>
          </w:p>
        </w:tc>
      </w:tr>
      <w:tr w:rsidR="00FF2AD2" w:rsidRPr="00AE2FBA" w:rsidTr="003976D0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A789B" w:rsidP="007A7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AD2" w:rsidRPr="00AE2FBA" w:rsidRDefault="00741EED" w:rsidP="003B3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968</w:t>
            </w: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spellStart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</w:t>
      </w:r>
      <w:proofErr w:type="spellEnd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spellEnd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spellEnd"/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Прогнозом на 2017 год и на период до 20</w:t>
      </w:r>
      <w:r w:rsidR="003B34C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определены следующие приоритеты социальной инфраструктуры развития сельского поселения: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-повышение уровня жизни населения сельского, в т.ч. на основе развития социальной инфраструктуры;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-создание условий для гармоничного развития подрастающего поколения в  поселении;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-сохранение культурного наследия.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2.1.4.1. Культура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Предоставление услуг населению в области культуры в сельском поселении осуществляет МКУ 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Подгоренский</w:t>
      </w:r>
      <w:r w:rsidR="000F108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КДЦ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которого вход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т:</w:t>
      </w:r>
    </w:p>
    <w:p w:rsidR="00FF2AD2" w:rsidRPr="00AE2FBA" w:rsidRDefault="000F1088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СДК с. </w:t>
      </w:r>
      <w:proofErr w:type="gramStart"/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Подгорное</w:t>
      </w:r>
      <w:proofErr w:type="gramEnd"/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СДК с. Ильинка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библиотека с. </w:t>
      </w:r>
      <w:proofErr w:type="gramStart"/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Подгорное</w:t>
      </w:r>
      <w:proofErr w:type="gramEnd"/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библиотека с. Ильинка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доме культуры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созданы взрослые и детские коллективы, работают кружки для взрослых и детей различных направлений.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Одним из основных направлений работы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 в культурно-досуговых учреждениях - вводить инновационные формы организации досуга населения и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увеличить процент охвата населения.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этих мероприятий позволит увеличить обеспеченность населения сельского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культурно-досуговыми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услугами.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2.1.4.2.Физическая </w:t>
      </w:r>
      <w:proofErr w:type="spellStart"/>
      <w:r w:rsidRPr="00AE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</w:t>
      </w:r>
      <w:proofErr w:type="spellEnd"/>
      <w:r w:rsidRPr="00AE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E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</w:t>
      </w:r>
      <w:proofErr w:type="spellEnd"/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3496"/>
        <w:gridCol w:w="1749"/>
        <w:gridCol w:w="3096"/>
      </w:tblGrid>
      <w:tr w:rsidR="00FD27AD" w:rsidRPr="00AE2FBA" w:rsidTr="00FD27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</w:tr>
      <w:tr w:rsidR="00FD27AD" w:rsidRPr="00AE2FBA" w:rsidTr="00FD27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27AD" w:rsidRPr="00AE2FBA" w:rsidTr="00FD27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Спортивный зал МКОУ 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Подгоренская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СОШ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Подгорное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395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хорошее</w:t>
            </w:r>
          </w:p>
        </w:tc>
      </w:tr>
      <w:tr w:rsidR="00FD27AD" w:rsidRPr="00AE2FBA" w:rsidTr="00FD27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D03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Спортивный зал МКОУ 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Заброденская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Ильинка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хорошее</w:t>
            </w:r>
          </w:p>
        </w:tc>
      </w:tr>
      <w:tr w:rsidR="00FD27AD" w:rsidRPr="00AE2FBA" w:rsidTr="00FD27AD">
        <w:trPr>
          <w:trHeight w:val="523"/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B4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Многофункциональная спортивная площадка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Подгорное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B46E0F" w:rsidP="00395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хорошее</w:t>
            </w: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сельском</w:t>
      </w:r>
      <w:r w:rsidR="0070295E"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поселении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ведется спортивная работа в многочисленных секциях.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территории сельского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46E0F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многофункиональная</w:t>
      </w:r>
      <w:proofErr w:type="spellEnd"/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площадк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46E0F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(зимой на ней заливается каток)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где проводятся игры и соревнования по волейболу, баскетболу, футболу, мини-футболу и т.д.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зимний период любимыми видами спорта среди населения является катание на 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лыжах</w:t>
      </w:r>
      <w:r w:rsidR="00B46E0F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на коньках, хоккей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Поселение достойно представляет многие виды спорта на районных и областных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соревнованиях.</w:t>
      </w:r>
    </w:p>
    <w:p w:rsidR="00FF2AD2" w:rsidRPr="00AE2FBA" w:rsidRDefault="00D61FFE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2.1.4.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Образование</w:t>
      </w:r>
    </w:p>
    <w:p w:rsidR="00FF2AD2" w:rsidRPr="00401A75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террито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рии поселения наход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395B1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401A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исленность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 составляет </w:t>
      </w:r>
      <w:r w:rsidR="0070295E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169</w:t>
      </w:r>
      <w:r w:rsidR="00D61FFE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1A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 детский сад, численность воспитанников 31 чел.</w:t>
      </w:r>
    </w:p>
    <w:tbl>
      <w:tblPr>
        <w:tblW w:w="927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5130"/>
        <w:gridCol w:w="1494"/>
        <w:gridCol w:w="1197"/>
        <w:gridCol w:w="800"/>
      </w:tblGrid>
      <w:tr w:rsidR="00FD27AD" w:rsidRPr="00AE2FBA" w:rsidTr="00FD27AD">
        <w:trPr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Мощ-ность,место</w:t>
            </w:r>
            <w:proofErr w:type="spellEnd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27AD" w:rsidRPr="00AE2FBA" w:rsidTr="00FD27AD">
        <w:trPr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казенное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образовательное учреждение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Подгоренская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средняя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общеобразовательная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Подгорное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401A75" w:rsidP="00AB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306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D27AD" w:rsidRPr="00AE2FBA" w:rsidTr="00FD27AD">
        <w:trPr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казенное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образовательное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учреждение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Заброденская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средняя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общеобразовательная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(структурное подразделение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Ильинка)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Ильинка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401A75" w:rsidP="00AB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395B14" w:rsidRPr="00AE2FBA" w:rsidRDefault="00395B14" w:rsidP="00395B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B14" w:rsidRPr="00AE2FBA" w:rsidRDefault="00395B14" w:rsidP="00395B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</w:rPr>
        <w:t>. В общеобразовательн</w:t>
      </w:r>
      <w:r w:rsidR="00EA268A" w:rsidRPr="00AE2FB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EA268A" w:rsidRPr="00AE2F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 трудятся порядка 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46E0F" w:rsidRPr="00AE2FBA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E2FBA">
        <w:rPr>
          <w:rFonts w:ascii="Times New Roman" w:eastAsia="Times New Roman" w:hAnsi="Times New Roman" w:cs="Times New Roman"/>
          <w:sz w:val="24"/>
          <w:szCs w:val="24"/>
        </w:rPr>
        <w:t>, большая часть из которых имеет высшее профессиональное образование.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2.1.4.4.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Здравоохранение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территории поселения находится</w:t>
      </w:r>
      <w:r w:rsidRPr="00AE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268A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амбулатория и 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ФАП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2"/>
        <w:gridCol w:w="2108"/>
        <w:gridCol w:w="2116"/>
        <w:gridCol w:w="1133"/>
        <w:gridCol w:w="2861"/>
      </w:tblGrid>
      <w:tr w:rsidR="00EA268A" w:rsidRPr="00AE2FBA" w:rsidTr="00EA268A">
        <w:trPr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proofErr w:type="spell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68A" w:rsidRPr="00AE2FBA" w:rsidTr="00EA268A">
        <w:trPr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D27AD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Подгоренская врачебная</w:t>
            </w:r>
            <w:r w:rsidR="002C6360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амбулатория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EA268A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FF2AD2" w:rsidRPr="00AE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Подгорное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D2" w:rsidRPr="00AE2FBA" w:rsidRDefault="002C6360" w:rsidP="00EA2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удовлетворительно</w:t>
            </w:r>
            <w:r w:rsidR="00FD27AD"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</w:p>
        </w:tc>
      </w:tr>
      <w:tr w:rsidR="00FD27AD" w:rsidRPr="00AE2FBA" w:rsidTr="00EA268A">
        <w:trPr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ФАП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Ильинка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7AD" w:rsidRPr="00AE2FBA" w:rsidRDefault="00FD27AD" w:rsidP="00EA2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удовлетворительное</w:t>
            </w:r>
          </w:p>
        </w:tc>
      </w:tr>
    </w:tbl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потери здоровья жителями определяется, прежде всего, условиями жизни и труда. Сельские жители поселения практически лишены элементарных коммунальных удобств, труд чаще носит физический характер.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Причина высокой заболеваемости населения кроется в т.ч. и в особенностях проживания: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 жизненный уровень,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отсутствие средств на приобретение лекарств,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низкая социальная культура,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малая плотность населения;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сильная удаленность от районного центра;</w:t>
      </w:r>
    </w:p>
    <w:p w:rsidR="00FF2AD2" w:rsidRPr="00AE2FBA" w:rsidRDefault="00FF2AD2" w:rsidP="00FF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 уровень и качество предоставляемых медицинских услуг.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Проанализировав вышеперечисленные отправные рубежи необходимо сделать вывод:</w:t>
      </w:r>
    </w:p>
    <w:p w:rsidR="00FD27AD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обобщенном виде главной целью Программы развития социальной инфраструктуры </w:t>
      </w:r>
      <w:r w:rsidR="00AE3108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 на 2017-20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сфере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3.Прогноз развития социальной инфраструктуры поселения.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Прогноз социально-экономического и градостроительного развития поселения.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проживания граждан, что в свою очередь создает условия для восстановления процессов естественного прироста населения.</w:t>
      </w:r>
    </w:p>
    <w:p w:rsidR="00FF2AD2" w:rsidRPr="00AE2FBA" w:rsidRDefault="00995085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территории поселения 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проживает 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D27AD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057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 Имеется </w:t>
      </w:r>
      <w:r w:rsidR="00901807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сельхозпредприятия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901807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предприятие перерабатывающей промышленности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0295E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043B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КФХ</w:t>
      </w:r>
      <w:r w:rsidR="00901807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10 магазинов, одно кафе</w:t>
      </w:r>
      <w:r w:rsidR="003920F4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две школы, амбулатория, два сельских Дома культуры, две сельских библиотеки, почта</w:t>
      </w:r>
      <w:r w:rsidR="00FF2AD2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Прогноз  развития социальной инфраструктуры.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период реализации Программы социальная инфраструктура 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претерпит существенные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Основные социальные объекты  планируется капитально отремонтировать и реконструировать</w:t>
      </w:r>
      <w:r w:rsidR="00D03EEE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2C6360"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 построить новые.</w:t>
      </w: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Основная задача сохранить имеющуюся </w:t>
      </w: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социальную инфраструктуру, соответствующую нормам и требованиям.</w:t>
      </w:r>
    </w:p>
    <w:p w:rsidR="00FF2AD2" w:rsidRPr="00AE2FBA" w:rsidRDefault="00FF2AD2" w:rsidP="00FF2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4.Перечень мероприятий (инвестиционных проектов) по проектированию, строительству, реконструкции объектов социальной инфраструктуры</w:t>
      </w: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1A335D" w:rsidRPr="00AE2FBA" w:rsidRDefault="00FF2AD2" w:rsidP="0039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4.1.</w:t>
      </w:r>
      <w:r w:rsidR="001A335D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908D2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 учетом сложившейся экономической ситуации, мероприятия по развитию социальной инфраструктуры </w:t>
      </w:r>
      <w:r w:rsidR="008D6F49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это</w:t>
      </w:r>
      <w:r w:rsidR="005C65D3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2908D2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мероприятия по реконструкции здани</w:t>
      </w:r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МКУ Подгоренский КДЦ,</w:t>
      </w:r>
      <w:r w:rsidR="002908D2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691802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реконструкции здания </w:t>
      </w:r>
      <w:r w:rsidR="00AE3108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Подгоренского</w:t>
      </w:r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детского сада, </w:t>
      </w:r>
      <w:r w:rsidR="002C6360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обустройство центральной площади</w:t>
      </w:r>
      <w:r w:rsidR="0070295E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B2483A" w:rsidRPr="00AE2FBA" w:rsidRDefault="00B2483A" w:rsidP="0039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4.1. С учетом сложившейся экономической ситуации, мероприятия по развитию социальной инфраструктуры мероприятия по </w:t>
      </w:r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реконструкции здания СДК </w:t>
      </w:r>
      <w:proofErr w:type="gramStart"/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</w:t>
      </w:r>
      <w:proofErr w:type="gramEnd"/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gramStart"/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Ильинка</w:t>
      </w:r>
      <w:proofErr w:type="gramEnd"/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реконструкции здания </w:t>
      </w:r>
      <w:r w:rsidR="00AE3108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детского сада, ремонт здания </w:t>
      </w:r>
      <w:proofErr w:type="spellStart"/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Подгоренской</w:t>
      </w:r>
      <w:proofErr w:type="spellEnd"/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СОШ, обустройство центральной площади села</w:t>
      </w:r>
      <w:r w:rsidR="003920F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B2483A" w:rsidRPr="00AE2FBA" w:rsidRDefault="00B2483A" w:rsidP="0039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5.Мероприятия по  развитию и сохранности объектов социальной инфраструктуры.</w:t>
      </w:r>
    </w:p>
    <w:p w:rsidR="00FF2AD2" w:rsidRPr="00AE2FBA" w:rsidRDefault="00FF2AD2" w:rsidP="00530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 целях </w:t>
      </w:r>
      <w:proofErr w:type="gramStart"/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повышения качественного уровня объектов социальной инфраструктуры поселения</w:t>
      </w:r>
      <w:proofErr w:type="gramEnd"/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доступности предлагается в период действия программы реализовать следующий ко</w:t>
      </w:r>
      <w:r w:rsidR="00B2483A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мплекс мероприятий по развитию </w:t>
      </w: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сохранности объектов социальной инфраструктуры поселения:</w:t>
      </w:r>
      <w:r w:rsidR="005307D4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Программа инвестиционных проектов объектов социальной инфраструктуры </w:t>
      </w:r>
      <w:r w:rsidR="00AE3108"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Подгоренского</w:t>
      </w:r>
      <w:r w:rsidRPr="00AE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сельского поселения</w:t>
      </w:r>
    </w:p>
    <w:p w:rsidR="00FF2AD2" w:rsidRPr="00AE2FBA" w:rsidRDefault="00FF2AD2" w:rsidP="00530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val="ru-RU" w:eastAsia="ar-SA"/>
        </w:rPr>
        <w:sectPr w:rsidR="00FF2AD2" w:rsidRPr="00AE2FB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99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117"/>
        <w:gridCol w:w="2168"/>
        <w:gridCol w:w="897"/>
        <w:gridCol w:w="1230"/>
        <w:gridCol w:w="1134"/>
        <w:gridCol w:w="567"/>
        <w:gridCol w:w="567"/>
        <w:gridCol w:w="567"/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  <w:gridCol w:w="567"/>
        <w:gridCol w:w="540"/>
      </w:tblGrid>
      <w:tr w:rsidR="00FF2AD2" w:rsidRPr="00401A75" w:rsidTr="005307D4">
        <w:trPr>
          <w:trHeight w:val="490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объекта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Цель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реализации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Сроки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реализации</w:t>
            </w:r>
            <w:proofErr w:type="spellEnd"/>
          </w:p>
        </w:tc>
        <w:tc>
          <w:tcPr>
            <w:tcW w:w="90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Расходы на реализацию программы всего тыс</w:t>
            </w:r>
            <w:proofErr w:type="gram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.р</w:t>
            </w:r>
            <w:proofErr w:type="gram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уб.</w:t>
            </w:r>
          </w:p>
        </w:tc>
      </w:tr>
      <w:tr w:rsidR="00FF2AD2" w:rsidRPr="00AE2FBA" w:rsidTr="005307D4">
        <w:trPr>
          <w:trHeight w:val="53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начало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окончание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AD2" w:rsidRPr="00AE2FBA" w:rsidRDefault="00FF2AD2" w:rsidP="00901807">
            <w:pPr>
              <w:suppressAutoHyphens/>
              <w:snapToGri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proofErr w:type="gram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весь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период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2017-20</w:t>
            </w:r>
            <w:r w:rsidR="00901807"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30</w:t>
            </w: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гг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годам</w:t>
            </w:r>
            <w:proofErr w:type="spellEnd"/>
          </w:p>
        </w:tc>
      </w:tr>
      <w:tr w:rsidR="00FF2AD2" w:rsidRPr="00AE2FBA" w:rsidTr="005307D4">
        <w:trPr>
          <w:trHeight w:val="60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 w:rsidP="003B0F53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="003B0F53"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</w:t>
            </w: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2030</w:t>
            </w:r>
          </w:p>
        </w:tc>
      </w:tr>
      <w:tr w:rsidR="00FF2AD2" w:rsidRPr="00AE2FBA" w:rsidTr="005307D4">
        <w:trPr>
          <w:trHeight w:val="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AD2" w:rsidRPr="00AE2FBA" w:rsidRDefault="005307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23</w:t>
            </w:r>
          </w:p>
        </w:tc>
      </w:tr>
      <w:tr w:rsidR="00FF2AD2" w:rsidRPr="00AE2FBA" w:rsidTr="005307D4">
        <w:trPr>
          <w:trHeight w:val="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AD2" w:rsidRPr="00AE2FBA" w:rsidRDefault="00FF2AD2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обеспечение сохранности объектов социальной инфраструктуры путем выполнения эксплуатационных и ремонтных мероприятий; - капитальный, текущий  ремонт зданий и сооружений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Повешение </w:t>
            </w: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качества и эффективности социального обслуживания населения, юридических лиц и индивидуальных предпринимателей сельского поселения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FF2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AD2" w:rsidRPr="00AE2FBA" w:rsidRDefault="005307D4" w:rsidP="00D223FD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AD2" w:rsidRPr="00AE2FBA" w:rsidRDefault="007D1E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AD2" w:rsidRPr="00AE2FBA" w:rsidRDefault="007D1E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AD2" w:rsidRPr="00AE2FBA" w:rsidRDefault="007D1ECC" w:rsidP="003B0F5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AD2" w:rsidRPr="00AE2FBA" w:rsidRDefault="007D1E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7D1E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 w:rsidP="003B0F53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 w:rsidP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AD2" w:rsidRPr="00AE2FBA" w:rsidRDefault="005307D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35</w:t>
            </w:r>
          </w:p>
        </w:tc>
      </w:tr>
      <w:tr w:rsidR="00F22021" w:rsidRPr="00AE2FBA" w:rsidTr="005307D4">
        <w:trPr>
          <w:trHeight w:val="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021" w:rsidRPr="00AE2FBA" w:rsidRDefault="00F22021" w:rsidP="00AF42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021" w:rsidRPr="00AE2FBA" w:rsidRDefault="00D03EEE" w:rsidP="00D03EEE">
            <w:pPr>
              <w:suppressAutoHyphens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Благоустройство</w:t>
            </w:r>
            <w:r w:rsidR="005307D4"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военно-мемориального объекта</w:t>
            </w: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</w:t>
            </w:r>
            <w:proofErr w:type="gramEnd"/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. Подгорное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F22021" w:rsidRPr="00AE2FBA" w:rsidRDefault="00F22021" w:rsidP="00AF42D0">
            <w:pPr>
              <w:suppressAutoHyphens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обеспечить доступность объектов социальной инфраструктуры для населения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021" w:rsidRPr="00AE2FBA" w:rsidRDefault="00F22021" w:rsidP="00AF42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021" w:rsidRPr="00AE2FBA" w:rsidRDefault="00F22021" w:rsidP="00D03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20</w:t>
            </w:r>
            <w:r w:rsidR="00D03EEE"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021" w:rsidRPr="00AE2FBA" w:rsidRDefault="005307D4" w:rsidP="00AF42D0">
            <w:pPr>
              <w:suppressAutoHyphens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897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021" w:rsidRPr="00AE2FBA" w:rsidRDefault="005307D4" w:rsidP="00AF42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897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021" w:rsidRPr="00AE2FBA" w:rsidRDefault="00F22021" w:rsidP="00AF42D0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F22021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ind w:right="33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 w:rsidP="00AF42D0">
            <w:pPr>
              <w:suppressAutoHyphens/>
              <w:snapToGrid w:val="0"/>
              <w:ind w:right="33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021" w:rsidRPr="00AE2FBA" w:rsidRDefault="00F2202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FF2AD2" w:rsidRPr="00AE2FBA" w:rsidRDefault="00FF2AD2" w:rsidP="00FF2AD2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  <w:sectPr w:rsidR="00FF2AD2" w:rsidRPr="00AE2FB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F2AD2" w:rsidRPr="00AE2FBA" w:rsidRDefault="00FF2AD2" w:rsidP="00FF2AD2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  <w:lastRenderedPageBreak/>
        <w:t>6.Структура инвестиций.</w:t>
      </w:r>
    </w:p>
    <w:p w:rsidR="00FF2AD2" w:rsidRPr="00AE2FBA" w:rsidRDefault="00FF2AD2" w:rsidP="00FF2AD2">
      <w:pPr>
        <w:shd w:val="clear" w:color="auto" w:fill="FFFFFF"/>
        <w:suppressAutoHyphens/>
        <w:spacing w:line="274" w:lineRule="exact"/>
        <w:ind w:right="-52" w:firstLine="54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spacing w:val="-1"/>
          <w:kern w:val="2"/>
          <w:sz w:val="24"/>
          <w:szCs w:val="24"/>
          <w:lang w:val="ru-RU" w:eastAsia="ar-SA"/>
        </w:rPr>
        <w:t>Общий объём средств, необход</w:t>
      </w:r>
      <w:r w:rsidR="0070295E" w:rsidRPr="00AE2FBA">
        <w:rPr>
          <w:rFonts w:ascii="Times New Roman" w:hAnsi="Times New Roman" w:cs="Times New Roman"/>
          <w:spacing w:val="-1"/>
          <w:kern w:val="2"/>
          <w:sz w:val="24"/>
          <w:szCs w:val="24"/>
          <w:lang w:val="ru-RU" w:eastAsia="ar-SA"/>
        </w:rPr>
        <w:t>имый на первоочередные мероприя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тия реализации программы </w:t>
      </w:r>
      <w:r w:rsidR="00AE3108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Подгоренского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сельского поселения на 2017 - 20</w:t>
      </w:r>
      <w:r w:rsidR="005307D4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30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годы, составляет </w:t>
      </w:r>
      <w:r w:rsidR="005307D4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2</w:t>
      </w:r>
      <w:r w:rsidR="00340F39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80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тыс. рублей. Из них наибольшая доля требуется на ремонт объектов социальной инфраструктуры. Распределение планового объёма инвестиций по объектам социальной инфраструктуре с учётом реализуемых и планируемых к реализации проектов развития социальной инфраструктуры, а также их приоритетности потребности в финансовых вложениях распределены на 2017 – 20</w:t>
      </w:r>
      <w:r w:rsidR="005307D4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30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годы. Полученные результаты приведены в таб.6.1.</w:t>
      </w:r>
    </w:p>
    <w:p w:rsidR="00FF2AD2" w:rsidRPr="00AE2FBA" w:rsidRDefault="00FF2AD2" w:rsidP="00FF2AD2">
      <w:pPr>
        <w:shd w:val="clear" w:color="auto" w:fill="FFFFFF"/>
        <w:suppressAutoHyphens/>
        <w:spacing w:line="274" w:lineRule="exact"/>
        <w:ind w:firstLine="540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val="ru-RU" w:eastAsia="ar-SA"/>
        </w:rPr>
        <w:t xml:space="preserve">Таблица 6.1. Распределение объёма инвестиций на период реализации ПСИ </w:t>
      </w:r>
      <w:r w:rsidR="00AE3108"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val="ru-RU" w:eastAsia="ar-SA"/>
        </w:rPr>
        <w:t>Подгоренского</w:t>
      </w:r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val="ru-RU" w:eastAsia="ar-SA"/>
        </w:rPr>
        <w:t xml:space="preserve"> сель</w:t>
      </w:r>
      <w:r w:rsidRPr="00AE2FBA">
        <w:rPr>
          <w:rFonts w:ascii="Times New Roman" w:hAnsi="Times New Roman" w:cs="Times New Roman"/>
          <w:b/>
          <w:kern w:val="2"/>
          <w:sz w:val="24"/>
          <w:szCs w:val="24"/>
          <w:lang w:val="ru-RU" w:eastAsia="ar-SA"/>
        </w:rPr>
        <w:t>ского поселения, тыс. руб.</w:t>
      </w:r>
    </w:p>
    <w:tbl>
      <w:tblPr>
        <w:tblW w:w="11911" w:type="dxa"/>
        <w:tblInd w:w="-16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720"/>
        <w:gridCol w:w="1778"/>
        <w:gridCol w:w="540"/>
        <w:gridCol w:w="720"/>
        <w:gridCol w:w="540"/>
        <w:gridCol w:w="540"/>
        <w:gridCol w:w="540"/>
        <w:gridCol w:w="565"/>
        <w:gridCol w:w="540"/>
        <w:gridCol w:w="594"/>
        <w:gridCol w:w="540"/>
        <w:gridCol w:w="736"/>
        <w:gridCol w:w="709"/>
        <w:gridCol w:w="807"/>
        <w:gridCol w:w="709"/>
        <w:gridCol w:w="709"/>
      </w:tblGrid>
      <w:tr w:rsidR="00D25392" w:rsidRPr="00401A75" w:rsidTr="00D03EEE">
        <w:trPr>
          <w:trHeight w:hRule="exact" w:val="31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392" w:rsidRPr="00AE2FBA" w:rsidRDefault="00D25392">
            <w:pPr>
              <w:shd w:val="clear" w:color="auto" w:fill="FFFFFF"/>
              <w:suppressAutoHyphens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5392" w:rsidRPr="00AE2FBA" w:rsidRDefault="00D25392">
            <w:pPr>
              <w:shd w:val="clear" w:color="auto" w:fill="FFFFFF"/>
              <w:suppressAutoHyphens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5392" w:rsidRPr="00AE2FBA" w:rsidRDefault="00D25392">
            <w:pPr>
              <w:shd w:val="clear" w:color="auto" w:fill="FFFFFF"/>
              <w:suppressAutoHyphens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Виды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услуг</w:t>
            </w:r>
            <w:proofErr w:type="spellEnd"/>
          </w:p>
        </w:tc>
        <w:tc>
          <w:tcPr>
            <w:tcW w:w="8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392" w:rsidRPr="00AE2FBA" w:rsidRDefault="00D2539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Инвестиции на реализацию программы тыс. рублей</w:t>
            </w:r>
          </w:p>
        </w:tc>
      </w:tr>
      <w:tr w:rsidR="00901807" w:rsidRPr="00AE2FBA" w:rsidTr="00D03EEE">
        <w:trPr>
          <w:trHeight w:hRule="exact" w:val="431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807" w:rsidRPr="00AE2FBA" w:rsidRDefault="009018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807" w:rsidRPr="00AE2FBA" w:rsidRDefault="009018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807" w:rsidRPr="00AE2FBA" w:rsidRDefault="0090180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ind w:left="-4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 w:rsidP="005307D4">
            <w:pPr>
              <w:shd w:val="clear" w:color="auto" w:fill="FFFFFF"/>
              <w:suppressAutoHyphens/>
              <w:snapToGrid w:val="0"/>
              <w:ind w:left="20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ind w:left="20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ind w:left="20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ind w:left="20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ind w:left="20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2030</w:t>
            </w:r>
          </w:p>
        </w:tc>
      </w:tr>
      <w:tr w:rsidR="00901807" w:rsidRPr="00AE2FBA" w:rsidTr="00D03EEE">
        <w:trPr>
          <w:trHeight w:hRule="exact" w:val="14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Ремонт объектов  социальной инфраструктуры</w:t>
            </w:r>
          </w:p>
          <w:p w:rsidR="00901807" w:rsidRPr="00AE2FBA" w:rsidRDefault="0090180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 w:rsidP="00603B68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ind w:left="-15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ind w:left="-26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1807" w:rsidRPr="00AE2FBA" w:rsidRDefault="009018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807" w:rsidRPr="00AE2FBA" w:rsidRDefault="005307D4" w:rsidP="00D61FFE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807" w:rsidRPr="00AE2FBA" w:rsidRDefault="005307D4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35</w:t>
            </w:r>
          </w:p>
        </w:tc>
      </w:tr>
      <w:tr w:rsidR="00901807" w:rsidRPr="00AE2FBA" w:rsidTr="00D03EEE">
        <w:trPr>
          <w:gridBefore w:val="1"/>
          <w:wBefore w:w="624" w:type="dxa"/>
          <w:trHeight w:hRule="exact" w:val="15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3EEE" w:rsidRPr="00AE2FBA" w:rsidRDefault="00D03EEE" w:rsidP="00D03EE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Благоустройство военно-мемориального объекта </w:t>
            </w:r>
          </w:p>
          <w:p w:rsidR="00901807" w:rsidRPr="00AE2FBA" w:rsidRDefault="00D03EEE" w:rsidP="00D03EE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с. Подгорное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D03EEE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897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ind w:left="-15"/>
              <w:jc w:val="center"/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pacing w:val="-5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spacing w:val="-5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ind w:left="-37" w:firstLine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807" w:rsidRPr="00AE2FBA" w:rsidRDefault="00901807" w:rsidP="00603B6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807" w:rsidRPr="00AE2FBA" w:rsidRDefault="00901807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FF2AD2" w:rsidRPr="00AE2FBA" w:rsidRDefault="00FF2AD2" w:rsidP="00FF2AD2">
      <w:pPr>
        <w:shd w:val="clear" w:color="auto" w:fill="FFFFFF"/>
        <w:suppressAutoHyphens/>
        <w:spacing w:after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FF2AD2" w:rsidRPr="00AE2FBA" w:rsidRDefault="00FF2AD2" w:rsidP="00D03EE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В результате </w:t>
      </w:r>
      <w:proofErr w:type="gramStart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анализа </w:t>
      </w:r>
      <w:r w:rsidR="00D03EEE" w:rsidRPr="00AE2FBA">
        <w:rPr>
          <w:rFonts w:ascii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состояния </w:t>
      </w:r>
      <w:r w:rsidRPr="00AE2FBA">
        <w:rPr>
          <w:rFonts w:ascii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объектов социальной инфраструктуры </w:t>
      </w:r>
      <w:r w:rsidR="00AE3108" w:rsidRPr="00AE2FBA">
        <w:rPr>
          <w:rFonts w:ascii="Times New Roman" w:hAnsi="Times New Roman" w:cs="Times New Roman"/>
          <w:bCs/>
          <w:kern w:val="2"/>
          <w:sz w:val="24"/>
          <w:szCs w:val="24"/>
          <w:lang w:val="ru-RU" w:eastAsia="ar-SA"/>
        </w:rPr>
        <w:t>Подгоренского</w:t>
      </w:r>
      <w:r w:rsidRPr="00AE2FBA">
        <w:rPr>
          <w:rFonts w:ascii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сельского поселения</w:t>
      </w:r>
      <w:proofErr w:type="gramEnd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показано, что экономика поселения является малопривлекательной для частных инвестиций</w:t>
      </w:r>
      <w:r w:rsidRPr="00AE2FBA">
        <w:rPr>
          <w:rFonts w:ascii="Times New Roman" w:hAnsi="Times New Roman" w:cs="Times New Roman"/>
          <w:spacing w:val="-1"/>
          <w:kern w:val="2"/>
          <w:sz w:val="24"/>
          <w:szCs w:val="24"/>
          <w:lang w:val="ru-RU" w:eastAsia="ar-SA"/>
        </w:rPr>
        <w:t>.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Причинами тому служат </w:t>
      </w:r>
      <w:r w:rsidRPr="00AE2FBA">
        <w:rPr>
          <w:rFonts w:ascii="Times New Roman" w:hAnsi="Times New Roman" w:cs="Times New Roman"/>
          <w:spacing w:val="-1"/>
          <w:kern w:val="2"/>
          <w:sz w:val="24"/>
          <w:szCs w:val="24"/>
          <w:lang w:val="ru-RU" w:eastAsia="ar-SA"/>
        </w:rPr>
        <w:t xml:space="preserve">низкий уровень доходов населения, отсутствие роста объёмов производства, относительно 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социальной инфраструктуры </w:t>
      </w:r>
      <w:r w:rsidR="00DE0E20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–</w:t>
      </w:r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DE0E20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это ЗАО </w:t>
      </w:r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«Подгорное», ОО «Альянс» </w:t>
      </w:r>
      <w:proofErr w:type="gramStart"/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и ООО</w:t>
      </w:r>
      <w:proofErr w:type="gramEnd"/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«</w:t>
      </w:r>
      <w:proofErr w:type="spellStart"/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КалачБент</w:t>
      </w:r>
      <w:proofErr w:type="spellEnd"/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»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. Поэтому в качестве основного источника инвестиций предлагается подразумевать поступления от вышестоящих бюджетов.</w:t>
      </w:r>
    </w:p>
    <w:p w:rsidR="00FF2AD2" w:rsidRPr="00AE2FBA" w:rsidRDefault="00FF2AD2" w:rsidP="00FF2AD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spacing w:val="-1"/>
          <w:kern w:val="2"/>
          <w:sz w:val="24"/>
          <w:szCs w:val="24"/>
          <w:lang w:val="ru-RU" w:eastAsia="ar-SA"/>
        </w:rPr>
        <w:t xml:space="preserve">Оценочное распределение денежных средств на реализацию ПТР 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приведено в таб.6.2.</w:t>
      </w:r>
    </w:p>
    <w:p w:rsidR="00FF2AD2" w:rsidRPr="00AE2FBA" w:rsidRDefault="00FF2AD2" w:rsidP="00FF2AD2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</w:pPr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val="ru-RU" w:eastAsia="ar-SA"/>
        </w:rPr>
        <w:t xml:space="preserve">Таблица 6.2. Источники привлечения денежных средств на реализацию </w:t>
      </w:r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 xml:space="preserve">ПКР </w:t>
      </w:r>
      <w:proofErr w:type="spellStart"/>
      <w:r w:rsidR="00AE3108"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>Подгоренского</w:t>
      </w:r>
      <w:proofErr w:type="spellEnd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 xml:space="preserve"> </w:t>
      </w:r>
      <w:proofErr w:type="spellStart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>сельского</w:t>
      </w:r>
      <w:proofErr w:type="spellEnd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 xml:space="preserve"> </w:t>
      </w:r>
      <w:proofErr w:type="spellStart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>поселения</w:t>
      </w:r>
      <w:proofErr w:type="spellEnd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 xml:space="preserve">, </w:t>
      </w:r>
      <w:proofErr w:type="spellStart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>тыс</w:t>
      </w:r>
      <w:proofErr w:type="spellEnd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 xml:space="preserve">. </w:t>
      </w:r>
      <w:proofErr w:type="spellStart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>руб</w:t>
      </w:r>
      <w:proofErr w:type="spellEnd"/>
      <w:r w:rsidRPr="00AE2FBA">
        <w:rPr>
          <w:rFonts w:ascii="Times New Roman" w:hAnsi="Times New Roman" w:cs="Times New Roman"/>
          <w:b/>
          <w:spacing w:val="-1"/>
          <w:kern w:val="2"/>
          <w:sz w:val="24"/>
          <w:szCs w:val="24"/>
          <w:lang w:eastAsia="ar-SA"/>
        </w:rPr>
        <w:t>.</w:t>
      </w:r>
    </w:p>
    <w:tbl>
      <w:tblPr>
        <w:tblW w:w="10440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2566"/>
        <w:gridCol w:w="1517"/>
        <w:gridCol w:w="1315"/>
        <w:gridCol w:w="1440"/>
        <w:gridCol w:w="1260"/>
        <w:gridCol w:w="1443"/>
      </w:tblGrid>
      <w:tr w:rsidR="00FF2AD2" w:rsidRPr="00401A75" w:rsidTr="001A335D">
        <w:trPr>
          <w:trHeight w:hRule="exact" w:val="121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spacing w:val="-3"/>
                <w:kern w:val="2"/>
                <w:sz w:val="24"/>
                <w:szCs w:val="24"/>
                <w:lang w:eastAsia="ar-SA"/>
              </w:rPr>
              <w:t>Наименование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spacing w:after="0" w:line="274" w:lineRule="exact"/>
              <w:ind w:left="86" w:right="86" w:firstLine="72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  <w:lang w:val="ru-RU" w:eastAsia="ar-SA"/>
              </w:rPr>
              <w:t>Бюджеты всех уров</w:t>
            </w:r>
            <w:r w:rsidRPr="00AE2FB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  <w:lang w:val="ru-RU" w:eastAsia="ar-SA"/>
              </w:rPr>
              <w:softHyphen/>
            </w:r>
            <w:r w:rsidRPr="00AE2FBA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  <w:lang w:val="ru-RU" w:eastAsia="ar-SA"/>
              </w:rPr>
              <w:t>ней и част</w:t>
            </w:r>
            <w:r w:rsidRPr="00AE2FBA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  <w:lang w:val="ru-RU" w:eastAsia="ar-SA"/>
              </w:rPr>
              <w:softHyphen/>
            </w:r>
            <w:r w:rsidRPr="00AE2FB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  <w:lang w:val="ru-RU" w:eastAsia="ar-SA"/>
              </w:rPr>
              <w:t>ные инве</w:t>
            </w:r>
            <w:r w:rsidRPr="00AE2FB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  <w:lang w:val="ru-RU" w:eastAsia="ar-SA"/>
              </w:rPr>
              <w:softHyphen/>
            </w: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spacing w:after="0" w:line="278" w:lineRule="exact"/>
              <w:ind w:left="38" w:right="53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ar-SA"/>
              </w:rPr>
              <w:t xml:space="preserve">В т.ч.  федеральный </w:t>
            </w: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spacing w:after="0" w:line="274" w:lineRule="exact"/>
              <w:ind w:left="110" w:right="12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spacing w:val="-3"/>
                <w:kern w:val="2"/>
                <w:sz w:val="24"/>
                <w:szCs w:val="24"/>
                <w:lang w:val="ru-RU" w:eastAsia="ar-SA"/>
              </w:rPr>
              <w:t xml:space="preserve">В т.ч. </w:t>
            </w: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spacing w:after="0" w:line="274" w:lineRule="exac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AE2F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</w:p>
          <w:p w:rsidR="00FF2AD2" w:rsidRPr="00AE2FBA" w:rsidRDefault="00FF2AD2">
            <w:pPr>
              <w:shd w:val="clear" w:color="auto" w:fill="FFFFFF"/>
              <w:suppressAutoHyphens/>
              <w:spacing w:after="0" w:line="274" w:lineRule="exact"/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eastAsia="ar-SA"/>
              </w:rPr>
            </w:pPr>
            <w:proofErr w:type="spellStart"/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eastAsia="ar-SA"/>
              </w:rPr>
              <w:t>Местный</w:t>
            </w:r>
            <w:proofErr w:type="spellEnd"/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eastAsia="ar-SA"/>
              </w:rPr>
              <w:t>бюджет</w:t>
            </w:r>
            <w:proofErr w:type="spellEnd"/>
          </w:p>
          <w:p w:rsidR="00FF2AD2" w:rsidRPr="00AE2FBA" w:rsidRDefault="00FF2AD2">
            <w:pPr>
              <w:shd w:val="clear" w:color="auto" w:fill="FFFFFF"/>
              <w:suppressAutoHyphens/>
              <w:spacing w:after="0" w:line="274" w:lineRule="exact"/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spacing w:after="0" w:line="278" w:lineRule="exact"/>
              <w:ind w:left="86" w:right="115"/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ar-SA"/>
              </w:rPr>
              <w:t>В т.ч. вне</w:t>
            </w:r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ar-SA"/>
              </w:rPr>
              <w:softHyphen/>
            </w:r>
            <w:r w:rsidRPr="00AE2FBA">
              <w:rPr>
                <w:rFonts w:ascii="Times New Roman" w:hAnsi="Times New Roman" w:cs="Times New Roman"/>
                <w:b/>
                <w:spacing w:val="-3"/>
                <w:kern w:val="2"/>
                <w:sz w:val="24"/>
                <w:szCs w:val="24"/>
                <w:lang w:val="ru-RU" w:eastAsia="ar-SA"/>
              </w:rPr>
              <w:t xml:space="preserve">бюджетные </w:t>
            </w:r>
            <w:r w:rsidRPr="00AE2FBA">
              <w:rPr>
                <w:rFonts w:ascii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ar-SA"/>
              </w:rPr>
              <w:t>источники</w:t>
            </w:r>
          </w:p>
        </w:tc>
      </w:tr>
      <w:tr w:rsidR="00FF2AD2" w:rsidRPr="00AE2FBA" w:rsidTr="001A335D">
        <w:trPr>
          <w:trHeight w:hRule="exact" w:val="89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ind w:left="1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2AD2" w:rsidRPr="00AE2FBA" w:rsidRDefault="00FF2AD2" w:rsidP="0070295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Ремонт объектов социальной инфраструктуры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D03EEE" w:rsidP="00D61FFE">
            <w:pPr>
              <w:shd w:val="clear" w:color="auto" w:fill="FFFFFF"/>
              <w:suppressAutoHyphens/>
              <w:snapToGrid w:val="0"/>
              <w:ind w:lef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</w:t>
            </w:r>
            <w:r w:rsidR="00340F39"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80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ind w:right="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AD2" w:rsidRPr="00AE2FBA" w:rsidRDefault="00D03EEE" w:rsidP="00D61FF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2</w:t>
            </w:r>
            <w:r w:rsidR="00340F39"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AD2" w:rsidRPr="00AE2FBA" w:rsidRDefault="00FF2AD2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25392" w:rsidRPr="00AE2FBA" w:rsidTr="00D03EEE">
        <w:trPr>
          <w:trHeight w:hRule="exact"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5392" w:rsidRPr="00AE2FBA" w:rsidRDefault="00D25392" w:rsidP="0070295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5392" w:rsidRPr="00AE2FBA" w:rsidRDefault="00D03EEE" w:rsidP="00D2539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Благоустройство военно-мемориального объекта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5392" w:rsidRPr="00AE2FBA" w:rsidRDefault="00D03EEE" w:rsidP="00AF42D0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897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5392" w:rsidRPr="00AE2FBA" w:rsidRDefault="00D25392" w:rsidP="00D03EEE">
            <w:pPr>
              <w:shd w:val="clear" w:color="auto" w:fill="FFFFFF"/>
              <w:suppressAutoHyphens/>
              <w:snapToGrid w:val="0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5392" w:rsidRPr="00AE2FBA" w:rsidRDefault="00D03EEE" w:rsidP="00D03EE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582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5392" w:rsidRPr="00AE2FBA" w:rsidRDefault="00D03EEE" w:rsidP="00D03EE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392" w:rsidRPr="00AE2FBA" w:rsidRDefault="00D03EEE" w:rsidP="00D03EE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2FBA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0</w:t>
            </w:r>
          </w:p>
        </w:tc>
      </w:tr>
    </w:tbl>
    <w:p w:rsidR="00FF2AD2" w:rsidRPr="00AE2FBA" w:rsidRDefault="00FF2AD2" w:rsidP="00FF2AD2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2AD2" w:rsidRPr="00AE2FBA" w:rsidRDefault="00FF2AD2" w:rsidP="00FF2AD2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Оценка эффективности мероприятий развития транспортной инфраструктуры:</w:t>
      </w: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-Обеспечить безопасность, качество и эффективность социального обслуживания населения, юридических лиц и индивидуальных предпринимателей сельского поселения;</w:t>
      </w: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обеспечить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</w:r>
    </w:p>
    <w:p w:rsidR="00FF2AD2" w:rsidRPr="00AE2FBA" w:rsidRDefault="00FF2AD2" w:rsidP="00FF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2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-обеспечить эффективность функционирования действующей социальной инфраструктуры.</w:t>
      </w:r>
    </w:p>
    <w:p w:rsidR="00FF2AD2" w:rsidRPr="00AE2FBA" w:rsidRDefault="00FF2AD2" w:rsidP="00FF2A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b/>
          <w:kern w:val="2"/>
          <w:sz w:val="24"/>
          <w:szCs w:val="24"/>
          <w:lang w:val="ru-RU" w:eastAsia="ar-SA"/>
        </w:rPr>
        <w:t xml:space="preserve">8. Предложение по институциональным преобразованиям. Совершенствованию правового информационного обеспечения деятельности в сфере социального обслуживания населения и субъектов экономической деятельности  на территории </w:t>
      </w:r>
      <w:r w:rsidR="00AE3108" w:rsidRPr="00AE2FBA">
        <w:rPr>
          <w:rFonts w:ascii="Times New Roman" w:hAnsi="Times New Roman" w:cs="Times New Roman"/>
          <w:b/>
          <w:kern w:val="2"/>
          <w:sz w:val="24"/>
          <w:szCs w:val="24"/>
          <w:lang w:val="ru-RU" w:eastAsia="ar-SA"/>
        </w:rPr>
        <w:t>Подгоренского</w:t>
      </w:r>
      <w:r w:rsidRPr="00AE2FBA">
        <w:rPr>
          <w:rFonts w:ascii="Times New Roman" w:hAnsi="Times New Roman" w:cs="Times New Roman"/>
          <w:b/>
          <w:kern w:val="2"/>
          <w:sz w:val="24"/>
          <w:szCs w:val="24"/>
          <w:lang w:val="ru-RU" w:eastAsia="ar-SA"/>
        </w:rPr>
        <w:t xml:space="preserve"> сельского поселения.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FF2AD2" w:rsidRPr="00AE2FBA" w:rsidRDefault="00FF2AD2" w:rsidP="00D03E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Администрация </w:t>
      </w:r>
      <w:r w:rsidR="00AE3108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Подгоренского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муниципального образования</w:t>
      </w:r>
      <w:r w:rsidR="00D03EEE"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- администрация сельского поселения осуществляет общий </w:t>
      </w:r>
      <w:proofErr w:type="gramStart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контроль за</w:t>
      </w:r>
      <w:proofErr w:type="gramEnd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- </w:t>
      </w:r>
      <w:proofErr w:type="gramStart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контроль за</w:t>
      </w:r>
      <w:proofErr w:type="gramEnd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реализацией программных мероприятий по срокам, содержанию, финансовым затратам и ресурсам;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Программа разрабатывается сроком на срок действия Генерального плана поселения и подлежит корректировке ежегодно.</w:t>
      </w:r>
    </w:p>
    <w:p w:rsidR="00FF2AD2" w:rsidRPr="00AE2FBA" w:rsidRDefault="00FF2AD2" w:rsidP="00D03E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FF2AD2" w:rsidRPr="00AE2FBA" w:rsidRDefault="00FF2AD2" w:rsidP="00D03E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Мониторинг и корректировка Программы осуществляется на основании следующих нормативных документов.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Мониторинг Программы включает следующие этапы: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1.Периодический сбор информации о результатах проводимых преобразований в социальном  хозяйстве, а также информации о состоянии и развитии социальной  инфраструктуры;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2.Вверификация данных;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3.Анализ данных о результатах проводимых преобразований  социальной инфраструктуры.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lastRenderedPageBreak/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 социальной  инфраструктуры. </w:t>
      </w:r>
    </w:p>
    <w:p w:rsidR="00FF2AD2" w:rsidRPr="00AE2FBA" w:rsidRDefault="00FF2AD2" w:rsidP="00FF2A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Разработка и последующая корректировка Программы комплексного развития социальной инфраструктуры базируется на необходимости </w:t>
      </w:r>
      <w:proofErr w:type="gramStart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достижения целевых уровней муниципальных стандартов качества предоставления социальных услуг</w:t>
      </w:r>
      <w:proofErr w:type="gramEnd"/>
      <w:r w:rsidRPr="00AE2FBA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услуг.</w:t>
      </w:r>
    </w:p>
    <w:p w:rsidR="00FF2AD2" w:rsidRPr="00AE2FBA" w:rsidRDefault="00FF2AD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F2AD2" w:rsidRPr="00AE2FBA" w:rsidSect="002119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2AD2"/>
    <w:rsid w:val="00037AD2"/>
    <w:rsid w:val="000B3C31"/>
    <w:rsid w:val="000E0B0F"/>
    <w:rsid w:val="000E2E0C"/>
    <w:rsid w:val="000F1088"/>
    <w:rsid w:val="00106809"/>
    <w:rsid w:val="0017339E"/>
    <w:rsid w:val="001A335D"/>
    <w:rsid w:val="001A4A6D"/>
    <w:rsid w:val="001D0D65"/>
    <w:rsid w:val="001D600D"/>
    <w:rsid w:val="0021196C"/>
    <w:rsid w:val="002908D2"/>
    <w:rsid w:val="002C6360"/>
    <w:rsid w:val="00340F39"/>
    <w:rsid w:val="003920F4"/>
    <w:rsid w:val="00395B14"/>
    <w:rsid w:val="003976D0"/>
    <w:rsid w:val="003B0F53"/>
    <w:rsid w:val="003B34CA"/>
    <w:rsid w:val="003C21BF"/>
    <w:rsid w:val="00401A75"/>
    <w:rsid w:val="004A4C62"/>
    <w:rsid w:val="00501850"/>
    <w:rsid w:val="00521CEA"/>
    <w:rsid w:val="005307D4"/>
    <w:rsid w:val="005C65D3"/>
    <w:rsid w:val="005D26A9"/>
    <w:rsid w:val="00603B68"/>
    <w:rsid w:val="00616C8D"/>
    <w:rsid w:val="006423D1"/>
    <w:rsid w:val="00691802"/>
    <w:rsid w:val="006A38D4"/>
    <w:rsid w:val="006B433A"/>
    <w:rsid w:val="0070295E"/>
    <w:rsid w:val="00741EED"/>
    <w:rsid w:val="00760548"/>
    <w:rsid w:val="00764D61"/>
    <w:rsid w:val="007670BE"/>
    <w:rsid w:val="007A789B"/>
    <w:rsid w:val="007D1ECC"/>
    <w:rsid w:val="00814C7F"/>
    <w:rsid w:val="008D6F49"/>
    <w:rsid w:val="008F5642"/>
    <w:rsid w:val="00901807"/>
    <w:rsid w:val="00995085"/>
    <w:rsid w:val="009C3963"/>
    <w:rsid w:val="009F7EBC"/>
    <w:rsid w:val="00A53529"/>
    <w:rsid w:val="00A978A5"/>
    <w:rsid w:val="00AB15D9"/>
    <w:rsid w:val="00AC54F8"/>
    <w:rsid w:val="00AD6F95"/>
    <w:rsid w:val="00AE2FBA"/>
    <w:rsid w:val="00AE3108"/>
    <w:rsid w:val="00AF42D0"/>
    <w:rsid w:val="00B06831"/>
    <w:rsid w:val="00B2483A"/>
    <w:rsid w:val="00B46E0F"/>
    <w:rsid w:val="00B9048C"/>
    <w:rsid w:val="00BD21FA"/>
    <w:rsid w:val="00C46BCB"/>
    <w:rsid w:val="00C77883"/>
    <w:rsid w:val="00C816D5"/>
    <w:rsid w:val="00C949E8"/>
    <w:rsid w:val="00CD0C54"/>
    <w:rsid w:val="00CE7FC9"/>
    <w:rsid w:val="00D03EEE"/>
    <w:rsid w:val="00D223FD"/>
    <w:rsid w:val="00D25392"/>
    <w:rsid w:val="00D3056E"/>
    <w:rsid w:val="00D61FFE"/>
    <w:rsid w:val="00DB043B"/>
    <w:rsid w:val="00DE0E20"/>
    <w:rsid w:val="00DE78D8"/>
    <w:rsid w:val="00E31E38"/>
    <w:rsid w:val="00E328AE"/>
    <w:rsid w:val="00E36F37"/>
    <w:rsid w:val="00EA268A"/>
    <w:rsid w:val="00EF3CA4"/>
    <w:rsid w:val="00F22021"/>
    <w:rsid w:val="00F47F00"/>
    <w:rsid w:val="00F55A51"/>
    <w:rsid w:val="00F83CCE"/>
    <w:rsid w:val="00FD27AD"/>
    <w:rsid w:val="00FD778A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14"/>
    <w:pPr>
      <w:spacing w:after="0" w:line="240" w:lineRule="auto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F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D21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D21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D21FA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0642-3729-46F8-9309-E732B53A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14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2017-03-28T06:39:00Z</cp:lastPrinted>
  <dcterms:created xsi:type="dcterms:W3CDTF">2017-03-14T10:51:00Z</dcterms:created>
  <dcterms:modified xsi:type="dcterms:W3CDTF">2017-03-28T06:40:00Z</dcterms:modified>
</cp:coreProperties>
</file>