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5D52C4">
        <w:rPr>
          <w:rFonts w:ascii="Arial" w:hAnsi="Arial" w:cs="Arial"/>
          <w:bCs/>
          <w:sz w:val="26"/>
          <w:szCs w:val="26"/>
        </w:rPr>
        <w:t>16.0</w:t>
      </w:r>
      <w:r w:rsidR="007F6015">
        <w:rPr>
          <w:rFonts w:ascii="Arial" w:hAnsi="Arial" w:cs="Arial"/>
          <w:bCs/>
          <w:sz w:val="26"/>
          <w:szCs w:val="26"/>
        </w:rPr>
        <w:t>2</w:t>
      </w:r>
      <w:r w:rsidR="00251771">
        <w:rPr>
          <w:rFonts w:ascii="Arial" w:hAnsi="Arial" w:cs="Arial"/>
          <w:bCs/>
          <w:sz w:val="26"/>
          <w:szCs w:val="26"/>
        </w:rPr>
        <w:t>.</w:t>
      </w:r>
      <w:r w:rsidR="005D52C4">
        <w:rPr>
          <w:rFonts w:ascii="Arial" w:hAnsi="Arial" w:cs="Arial"/>
          <w:bCs/>
          <w:sz w:val="26"/>
          <w:szCs w:val="26"/>
        </w:rPr>
        <w:t xml:space="preserve">2017 </w:t>
      </w:r>
      <w:r w:rsidR="00B608D9" w:rsidRPr="002B4FDC">
        <w:rPr>
          <w:rFonts w:ascii="Arial" w:hAnsi="Arial" w:cs="Arial"/>
          <w:bCs/>
          <w:sz w:val="26"/>
          <w:szCs w:val="26"/>
        </w:rPr>
        <w:t>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5D52C4">
        <w:rPr>
          <w:rFonts w:ascii="Arial" w:hAnsi="Arial" w:cs="Arial"/>
          <w:bCs/>
          <w:sz w:val="26"/>
          <w:szCs w:val="26"/>
        </w:rPr>
        <w:t>4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Содержание и развитие коммунальной</w:t>
      </w:r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03A5B" w:rsidRPr="002B4FD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пальной программы 11604,9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15123,8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2017 цифры «510,0» заменить цифрами «4028,9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35227" w:rsidRDefault="00B66F4F" w:rsidP="0033522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ю подпрограммы составляет 2188,4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2193,4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E0F95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2017 цифры «3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,0» заменить цифрами «25,0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proofErr w:type="gramEnd"/>
    </w:p>
    <w:p w:rsidR="00335227" w:rsidRPr="002B4FDC" w:rsidRDefault="00335227" w:rsidP="0033522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1.3.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ляет 5911,7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 подпр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ограммы составляет 6368,8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="00BE0F95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ры «479,0</w:t>
      </w:r>
      <w:r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цифрами «936,1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2B4FDC" w:rsidRDefault="00335227" w:rsidP="00335227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   </w:t>
      </w: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ляет 3504,8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6561,6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BE0F95">
        <w:rPr>
          <w:rFonts w:ascii="Arial" w:eastAsia="Calibri" w:hAnsi="Arial" w:cs="Arial"/>
          <w:sz w:val="26"/>
          <w:szCs w:val="26"/>
          <w:lang w:eastAsia="ar-SA"/>
        </w:rPr>
        <w:t>ры «200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,0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ифрами «3067,8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335227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16.0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.2017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A06C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0771EA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BB477F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0771EA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397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BB477F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16.0</w:t>
      </w:r>
      <w:r w:rsidR="00F826BF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2017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CC6E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</w:pPr>
            <w:r w:rsidRPr="00CC6E93"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683643" w:rsidRDefault="00683643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8364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Мероприятия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68364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683643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018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</w:t>
      </w:r>
      <w:r w:rsidR="00A64872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16.0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  <w:r w:rsidR="0068364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4028,9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936,10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3067,8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3067,8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1036,6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BA1472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562,0</w:t>
            </w:r>
          </w:p>
          <w:p w:rsidR="00C47E13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47E13" w:rsidRPr="00DA00FD" w:rsidRDefault="00C47E13" w:rsidP="00BA147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1292,6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91" w:rsidRDefault="00525491" w:rsidP="00DE0019">
      <w:pPr>
        <w:spacing w:after="0" w:line="240" w:lineRule="auto"/>
      </w:pPr>
      <w:r>
        <w:separator/>
      </w:r>
    </w:p>
  </w:endnote>
  <w:endnote w:type="continuationSeparator" w:id="0">
    <w:p w:rsidR="00525491" w:rsidRDefault="00525491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4" w:rsidRDefault="005D52C4">
    <w:pPr>
      <w:pStyle w:val="aa"/>
      <w:jc w:val="right"/>
    </w:pPr>
  </w:p>
  <w:p w:rsidR="005D52C4" w:rsidRDefault="005D5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91" w:rsidRDefault="00525491" w:rsidP="00DE0019">
      <w:pPr>
        <w:spacing w:after="0" w:line="240" w:lineRule="auto"/>
      </w:pPr>
      <w:r>
        <w:separator/>
      </w:r>
    </w:p>
  </w:footnote>
  <w:footnote w:type="continuationSeparator" w:id="0">
    <w:p w:rsidR="00525491" w:rsidRDefault="00525491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5B99-AAF3-4CC2-9B9E-71F682BF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72</cp:revision>
  <cp:lastPrinted>2017-02-17T10:45:00Z</cp:lastPrinted>
  <dcterms:created xsi:type="dcterms:W3CDTF">2014-10-13T12:21:00Z</dcterms:created>
  <dcterms:modified xsi:type="dcterms:W3CDTF">2017-02-17T10:46:00Z</dcterms:modified>
</cp:coreProperties>
</file>